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974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33"/>
          <w:szCs w:val="33"/>
        </w:rPr>
      </w:pPr>
      <w:bookmarkStart w:id="0" w:name="_GoBack"/>
      <w:r>
        <w:rPr>
          <w:rFonts w:hint="eastAsia" w:ascii="Microsoft YaHei UI" w:hAnsi="Microsoft YaHei UI" w:eastAsia="Microsoft YaHei UI" w:cs="Microsoft YaHei UI"/>
          <w:b/>
          <w:bCs/>
          <w:i w:val="0"/>
          <w:iCs w:val="0"/>
          <w:caps w:val="0"/>
          <w:spacing w:val="8"/>
          <w:sz w:val="33"/>
          <w:szCs w:val="33"/>
          <w:bdr w:val="none" w:color="auto" w:sz="0" w:space="0"/>
          <w:shd w:val="clear" w:fill="FFFFFF"/>
        </w:rPr>
        <w:t>江西省九校2025-2026学年高三上学期11月期中联考语文试题</w:t>
      </w:r>
    </w:p>
    <w:bookmarkEnd w:id="0"/>
    <w:p w14:paraId="1744ED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注意事项:</w:t>
      </w:r>
    </w:p>
    <w:p w14:paraId="210AD9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1.答卷前，考生务必将自己的姓名、准考证号填写在答题卡上。</w:t>
      </w:r>
    </w:p>
    <w:p w14:paraId="65E076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2.回答选择题时，选出每小题答案后，用2B铅笔把答题卡上对应题目的答案标号涂黑。如需改动，用橡皮擦干净后，再选涂其他答案标号。回答非选择题时，用 0.5毫米黑色签字笔将答案写在答题卡上。写在本试卷上无效。</w:t>
      </w:r>
    </w:p>
    <w:p w14:paraId="50D61B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3.请按照题号在各题目的答题区域内作答，超出答题区域书写的答案无效；在草稿纸、试题卷上答题无效。保持卡面清洁，不折叠、不破损。</w:t>
      </w:r>
    </w:p>
    <w:p w14:paraId="7F6C28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4.</w:t>
      </w:r>
      <w:r>
        <w:rPr>
          <w:rFonts w:hint="eastAsia" w:ascii="宋体" w:hAnsi="宋体" w:eastAsia="宋体" w:cs="宋体"/>
          <w:b w:val="0"/>
          <w:bCs w:val="0"/>
          <w:i w:val="0"/>
          <w:iCs w:val="0"/>
          <w:caps w:val="0"/>
          <w:spacing w:val="8"/>
          <w:sz w:val="25"/>
          <w:szCs w:val="25"/>
          <w:bdr w:val="none" w:color="auto" w:sz="0" w:space="0"/>
          <w:shd w:val="clear" w:fill="FFFFFF"/>
        </w:rPr>
        <w:t>考试结束后，将本试卷和答题卡一并交回。</w:t>
      </w:r>
    </w:p>
    <w:p w14:paraId="131D56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ascii="黑体" w:hAnsi="宋体" w:eastAsia="黑体" w:cs="黑体"/>
          <w:b w:val="0"/>
          <w:bCs w:val="0"/>
          <w:i w:val="0"/>
          <w:iCs w:val="0"/>
          <w:caps w:val="0"/>
          <w:spacing w:val="8"/>
          <w:sz w:val="25"/>
          <w:szCs w:val="25"/>
          <w:bdr w:val="none" w:color="auto" w:sz="0" w:space="0"/>
          <w:shd w:val="clear" w:fill="FFFFFF"/>
        </w:rPr>
        <w:t>一、阅读（72分）</w:t>
      </w:r>
    </w:p>
    <w:p w14:paraId="5EF324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（一）阅读I</w:t>
      </w:r>
      <w:r>
        <w:rPr>
          <w:rFonts w:hint="eastAsia" w:ascii="宋体" w:hAnsi="宋体" w:eastAsia="宋体" w:cs="宋体"/>
          <w:b w:val="0"/>
          <w:bCs w:val="0"/>
          <w:i w:val="0"/>
          <w:iCs w:val="0"/>
          <w:caps w:val="0"/>
          <w:spacing w:val="8"/>
          <w:sz w:val="25"/>
          <w:szCs w:val="25"/>
          <w:bdr w:val="none" w:color="auto" w:sz="0" w:space="0"/>
          <w:shd w:val="clear" w:fill="FFFFFF"/>
        </w:rPr>
        <w:t>（本题共5小题，19分）</w:t>
      </w:r>
    </w:p>
    <w:p w14:paraId="640C7E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阅读下面的文字，完成</w:t>
      </w:r>
      <w:r>
        <w:rPr>
          <w:rFonts w:hint="default" w:ascii="Times New Roman" w:hAnsi="Times New Roman" w:cs="Times New Roman"/>
          <w:b w:val="0"/>
          <w:bCs w:val="0"/>
          <w:i w:val="0"/>
          <w:iCs w:val="0"/>
          <w:caps w:val="0"/>
          <w:spacing w:val="8"/>
          <w:sz w:val="25"/>
          <w:szCs w:val="25"/>
          <w:bdr w:val="none" w:color="auto" w:sz="0" w:space="0"/>
          <w:shd w:val="clear" w:fill="FFFFFF"/>
        </w:rPr>
        <w:t>1~5</w:t>
      </w:r>
      <w:r>
        <w:rPr>
          <w:rFonts w:hint="eastAsia" w:ascii="宋体" w:hAnsi="宋体" w:eastAsia="宋体" w:cs="宋体"/>
          <w:b w:val="0"/>
          <w:bCs w:val="0"/>
          <w:i w:val="0"/>
          <w:iCs w:val="0"/>
          <w:caps w:val="0"/>
          <w:spacing w:val="8"/>
          <w:sz w:val="25"/>
          <w:szCs w:val="25"/>
          <w:bdr w:val="none" w:color="auto" w:sz="0" w:space="0"/>
          <w:shd w:val="clear" w:fill="FFFFFF"/>
        </w:rPr>
        <w:t>题。</w:t>
      </w:r>
    </w:p>
    <w:p w14:paraId="0636BF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材料一：</w:t>
      </w:r>
    </w:p>
    <w:p w14:paraId="334F54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ascii="楷体" w:hAnsi="楷体" w:eastAsia="楷体" w:cs="楷体"/>
          <w:b w:val="0"/>
          <w:bCs w:val="0"/>
          <w:i w:val="0"/>
          <w:iCs w:val="0"/>
          <w:caps w:val="0"/>
          <w:spacing w:val="8"/>
          <w:sz w:val="25"/>
          <w:szCs w:val="25"/>
          <w:bdr w:val="none" w:color="auto" w:sz="0" w:space="0"/>
          <w:shd w:val="clear" w:fill="FFFFFF"/>
        </w:rPr>
        <w:t>水稻在长江中下游完成了驯化，并伴随人群交流、文化交融进入周边地区，这一过程促成了早期中国文化格局的形成和区域文明的发展。可以说，稻米之路谱写出“何以中国”的最初篇章。</w:t>
      </w:r>
    </w:p>
    <w:p w14:paraId="44F465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在距今6000—5000年，中原、关中乃至甘肃东部地区就已陆续出现稻作遗存。这些稻作因素的北传及粟黍南传，促使中国大范围内形成稻粟混作的农业形态。尽管不同区域因气候环境条件不同，稻粟的比例差异很大，但因地制宜的混合种植模式成为中国传统谷物农业持续发展的坚实土壤，也为中国历史核心区形成“五谷丰登”的农业模式奠定了基础。</w:t>
      </w:r>
    </w:p>
    <w:p w14:paraId="541C70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距今4500年左右，随着农业发展和人口增长，黄河和长江中下游各地区均形成了复杂社会和区域文明，中国进入了古国时代（特指中华文明起源加速阶段中距今5800—3800年前后的时期）。同时，稻作农业向古国之外的区域持续传播发展，使长江上游、东南沿海、岭南地区、云贵高原都逐步成为新兴的山地稻作农业区。一方面，农业化扩展奠定了早期中国的文化格局和地理版图；另一方面，这些区域逐步发展出各有特点的山地梯田式稻作农业，也形成了不同于长江中下游粒食传统的饮食文化，米粉、糍粑就来自这些农业化进程中的山川民族。</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62D431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距今4000年前后，日趋加强的区域融合互动成为龙山时期的特征，接续发展兴起的二里头文化是早期中国走向一体化的时间坐标。水稻进一步成为体现社会等级差异的作物，在二里头遗址和青铜时代都邑型聚落中所占比例均显著高于其他同时期村落遗址。自龙山时期开始，随着礼制的发展，日趋复杂的宴飨和葬仪活动中，米酒成为重要的祭祀和消费内容，稻米的价值体现在经济、社会与文化等各个层面。</w:t>
      </w:r>
    </w:p>
    <w:p w14:paraId="5F916C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从最初向黄河流域的传播，到塑造早期中国的地理格局，再到成为中国多元一体进程中的重要基础之一，稻米之路为我们讲述了“何以中国”的千年历程。</w:t>
      </w:r>
    </w:p>
    <w:p w14:paraId="1BBD14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在人类历史上，农业传播是塑造世界文化地理格局的重要动力。农业背后，是物种、技术、观念的传播与交流，更是人群、语言、文化的发展与融合。不同地区和时代发现的炭化稻谷，为我们串联起人群与文化的世界之旅。</w:t>
      </w:r>
    </w:p>
    <w:p w14:paraId="683BC8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向东北亚和中南半岛传播的水稻，有一个共同特点——它们并非东亚物种传播的领跑者。粟黍农业先于稻作。</w:t>
      </w:r>
    </w:p>
    <w:p w14:paraId="1899F1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尽管如此，稻作的东传和南传促进了这些地区的社会复杂化和国家化进程。最重要的是，稻作从此生根发芽，为地区民众奠定了共同的饮食文化传统。</w:t>
      </w:r>
    </w:p>
    <w:p w14:paraId="353E7E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稻作农业传播也是南岛语族起源和扩散的主要表现之一。考古学者曾经提出过著名的农人—语言扩散理论，认为这一语族的形成是在稻作农业和家畜饲养基础上，由农业族群扩散传播的结果。尽管新的考古学和遗传学研究在不断补充和修正这一观点，但不可否认，稻作遗存的出现和东南亚岛屿的新石器化进程具有同步性。因此，稻的传播是南岛语族扩散形成中的标志性特征，稻米之路也是整合太平洋岛屿考古、语言学和遗传学研究的重要线索。</w:t>
      </w:r>
    </w:p>
    <w:p w14:paraId="4882E1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自万年前古人选择了河岸边的这株植物开始，从驯化到发展传播，从定居到文化融合，稻谷的旅程是早期文明起源的基础，是“何以中国”的索引，亦是世界文化交流碰撞的历史见证。</w:t>
      </w:r>
    </w:p>
    <w:p w14:paraId="0DC5B6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right"/>
        <w:textAlignment w:val="auto"/>
        <w:rPr>
          <w:rFonts w:hint="default" w:ascii="Calibri" w:hAnsi="Calibri" w:cs="Calibri"/>
          <w:b w:val="0"/>
          <w:bCs w:val="0"/>
          <w:i w:val="0"/>
          <w:iCs w:val="0"/>
          <w:caps w:val="0"/>
          <w:spacing w:val="8"/>
          <w:sz w:val="24"/>
          <w:szCs w:val="24"/>
        </w:rPr>
      </w:pPr>
      <w:r>
        <w:rPr>
          <w:rFonts w:ascii="仿宋" w:hAnsi="仿宋" w:eastAsia="仿宋" w:cs="仿宋"/>
          <w:b w:val="0"/>
          <w:bCs w:val="0"/>
          <w:i w:val="0"/>
          <w:iCs w:val="0"/>
          <w:caps w:val="0"/>
          <w:spacing w:val="8"/>
          <w:sz w:val="25"/>
          <w:szCs w:val="25"/>
          <w:bdr w:val="none" w:color="auto" w:sz="0" w:space="0"/>
          <w:shd w:val="clear" w:fill="FFFFFF"/>
        </w:rPr>
        <w:t>（摘编自秦岭《稻米之路，文明之光》）</w:t>
      </w:r>
    </w:p>
    <w:p w14:paraId="4AA7FD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材料二：</w:t>
      </w:r>
    </w:p>
    <w:p w14:paraId="3C8E7E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花生在中国已知的最早有时间的记录来自1539年江苏常熟县的地方志，常熟位于苏州以北，就在长江之南。何炳棣认为，要么是葡萄牙人直接引进花生，要么是福建商人将它从东南亚带来，而此前葡萄牙人已将花生引进了东南亚。美洲作物在引进中国一些年头之后，可能才出现在任何的书面记录中。对于花生的引进来说，十六世纪二十年代是合理的估计。</w:t>
      </w:r>
    </w:p>
    <w:p w14:paraId="7D07E4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甘薯从两个方向进入中国，是在1594年之前的几十年间，而这个时间是之前学术研究所给出的。1594年甘薯引起了福建巡抚的注意，不过，根据其他史料，很显然在巡抚注意之前，甘薯已经得到种植。引进的路线之一可能是通过海路进入福建，另一条可能是从缅甸经陆路进入云南。1563年的一部云南地方志是已知中国最早记录甘薯的。同样，甘薯出现在地方志之前，很可能至少已种植了十年，所以有理由相信它的引进是在十六世纪五十年代。</w:t>
      </w:r>
    </w:p>
    <w:p w14:paraId="76EFF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何炳棣将1555年河南的一部县志确定为中国最早记录玉米的材料。他指出：“此地远离东南沿海以及滇缅边境这两个可能是新大陆作物由此进入中国的地区，既然对于一种新作物来说，要花相当长时间的种植才能达到被地方志记录的程度，因此有理由认为玉米引进中国，至少是在它第一次被记录的前二三十年。”这将玉米的引进设定在十六世纪二三十年代。</w:t>
      </w:r>
    </w:p>
    <w:p w14:paraId="3A142C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中国最早的烟草种植记录来自福建，时间是在1611年。这一资料的作者姚旅（1573—1620年），声称烟草是从吕宋（位于菲律宾）引进，当时产量很高，以至于反而向吕宋出口。卡罗尔·本尼迪克特（Carol Benedict）认为烟草如上面讨论的其他作物一样，要达到这样的产量水平，应该在之前的十六世纪五十年代引进中国并得以种植。可以说，这四种美洲作物很可能是在十六世纪二十年代到六十年代间引进中国的。一些先从陆路经由缅甸进入云南，一些沿中部或东南海岸进入。对于这种沿海的引进，葡萄牙或福建商船极可能是最初的联络者。</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655C50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right"/>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（摘编自达白安《吃辣：辣椒的中国史》）</w:t>
      </w:r>
    </w:p>
    <w:p w14:paraId="1CB8A8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 下列对材料相关内容的理解和分析，正确的一项是（3分）</w:t>
      </w:r>
    </w:p>
    <w:p w14:paraId="43E059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水稻的传播促使中国形成稻粟混作农业形态，为“五谷丰登”农业模式奠基，这对早期中国文化格局发展意义重大。</w:t>
      </w:r>
    </w:p>
    <w:p w14:paraId="0D6FD4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距今4500年左右中国进入古国时代，稻作农业向更多区域传播，奠定了早期中国文化格局和地理版图。</w:t>
      </w:r>
    </w:p>
    <w:p w14:paraId="79D585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材料二对花生等美洲作物引进中国的时间和路线的研究，主要运用了实地考察与文献研究相结合的方法。</w:t>
      </w:r>
    </w:p>
    <w:p w14:paraId="340D1F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花生、甘薯、玉米、烟草等美洲作物通过海路或陆路传入中国，葡萄牙或福建商船可能是沿海引进的最初联络者。</w:t>
      </w:r>
    </w:p>
    <w:p w14:paraId="57763A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 根据材料内容，下列说法不正确的一项是（3分）</w:t>
      </w:r>
    </w:p>
    <w:p w14:paraId="16BA98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从水稻的驯化传播到美洲作物的引进，可见物种的交流传播在中华文明发展进程中扮演着重要角色，不断丰富和发展着中华文明。</w:t>
      </w:r>
    </w:p>
    <w:p w14:paraId="412A60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水稻向东北亚和中南半岛传播虽晚于粟黍农业，但促进了当地社会发展和饮食文化形成，说明中华文明对外传播的影响力并不取决于传播先后顺序。</w:t>
      </w:r>
    </w:p>
    <w:p w14:paraId="4086D6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材料一以时间为线索，清晰展现了稻米之路对早期中国以及世界文化交流的重要意义，材料二则聚焦美洲作物引进中国的相关探究。</w:t>
      </w:r>
    </w:p>
    <w:p w14:paraId="0E0AE1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从材料一及材料二中不同地区食物传播的过程来看，不同文明之间的交流融合，只会让彼此变得更加相似，最终趋向单一文化模式。</w:t>
      </w:r>
    </w:p>
    <w:p w14:paraId="553FE1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3. 下列选项，最适合作为论据来支撑材料一观点的一项是（3分）</w:t>
      </w:r>
    </w:p>
    <w:p w14:paraId="09DC10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在日本，水稻种植历史悠久，当地形成了以大米为主食，搭配各类海鲜、蔬菜的独特饮食文化，如寿司、饭团等美食深受喜爱。</w:t>
      </w:r>
    </w:p>
    <w:p w14:paraId="08DA14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有研究表明，古代丝绸之路不仅促进了丝绸、瓷器等商品的贸易，也推动了不同地区农作物品种的交换与传播。</w:t>
      </w:r>
    </w:p>
    <w:p w14:paraId="74800C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考古发现，在东南亚一些岛屿上出土的文物中，有与中国古代稻作农业相关的农具，其年代与当地新石器化进程相近。</w:t>
      </w:r>
    </w:p>
    <w:p w14:paraId="3F4824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某学者研究指出，玉米在传入中国后，迅速在各地广泛种植，成为许多地区的重要粮食作物，改变了当地的农业种植结构。</w:t>
      </w:r>
    </w:p>
    <w:p w14:paraId="23BD65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4. 根据材料二内容推断，作者在后文可能会用怎样的研究方法来确定辣椒进入中国的时间和路线。（4分）</w:t>
      </w:r>
    </w:p>
    <w:p w14:paraId="2E9B5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39DE5C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77D57B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5. 学校组织“中华文明面面观”展示活动，你和同伴准备以“饭桌上的中华文明”这个话题将材料一和材料二的内容介绍给大家。请简要陈述你的演讲稿要点。（6分）</w:t>
      </w:r>
    </w:p>
    <w:p w14:paraId="6D5E91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0167AF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Calibri" w:hAnsi="Calibri" w:cs="Calibri"/>
          <w:b w:val="0"/>
          <w:bCs w:val="0"/>
          <w:i w:val="0"/>
          <w:iCs w:val="0"/>
          <w:caps w:val="0"/>
          <w:spacing w:val="8"/>
          <w:sz w:val="25"/>
          <w:szCs w:val="25"/>
          <w:bdr w:val="none" w:color="auto" w:sz="0" w:space="0"/>
          <w:shd w:val="clear" w:fill="FFFFFF"/>
        </w:rPr>
        <w:t> </w:t>
      </w:r>
    </w:p>
    <w:p w14:paraId="0867B5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（二）阅读Ⅱ</w:t>
      </w:r>
      <w:r>
        <w:rPr>
          <w:rFonts w:hint="eastAsia" w:ascii="宋体" w:hAnsi="宋体" w:eastAsia="宋体" w:cs="宋体"/>
          <w:b w:val="0"/>
          <w:bCs w:val="0"/>
          <w:i w:val="0"/>
          <w:iCs w:val="0"/>
          <w:caps w:val="0"/>
          <w:spacing w:val="8"/>
          <w:sz w:val="25"/>
          <w:szCs w:val="25"/>
          <w:bdr w:val="none" w:color="auto" w:sz="0" w:space="0"/>
          <w:shd w:val="clear" w:fill="FFFFFF"/>
        </w:rPr>
        <w:t>（本题共4小题，16分）</w:t>
      </w:r>
    </w:p>
    <w:p w14:paraId="07923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阅读下面的文字，完成</w:t>
      </w:r>
      <w:r>
        <w:rPr>
          <w:rFonts w:hint="default" w:ascii="Times New Roman" w:hAnsi="Times New Roman" w:cs="Times New Roman"/>
          <w:b w:val="0"/>
          <w:bCs w:val="0"/>
          <w:i w:val="0"/>
          <w:iCs w:val="0"/>
          <w:caps w:val="0"/>
          <w:spacing w:val="8"/>
          <w:sz w:val="25"/>
          <w:szCs w:val="25"/>
          <w:bdr w:val="none" w:color="auto" w:sz="0" w:space="0"/>
          <w:shd w:val="clear" w:fill="FFFFFF"/>
        </w:rPr>
        <w:t>6～9</w:t>
      </w:r>
      <w:r>
        <w:rPr>
          <w:rFonts w:hint="eastAsia" w:ascii="宋体" w:hAnsi="宋体" w:eastAsia="宋体" w:cs="宋体"/>
          <w:b w:val="0"/>
          <w:bCs w:val="0"/>
          <w:i w:val="0"/>
          <w:iCs w:val="0"/>
          <w:caps w:val="0"/>
          <w:spacing w:val="8"/>
          <w:sz w:val="25"/>
          <w:szCs w:val="25"/>
          <w:bdr w:val="none" w:color="auto" w:sz="0" w:space="0"/>
          <w:shd w:val="clear" w:fill="FFFFFF"/>
        </w:rPr>
        <w:t>题。</w:t>
      </w:r>
    </w:p>
    <w:p w14:paraId="033B94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bCs/>
          <w:i w:val="0"/>
          <w:iCs w:val="0"/>
          <w:caps w:val="0"/>
          <w:spacing w:val="8"/>
          <w:sz w:val="25"/>
          <w:szCs w:val="25"/>
          <w:bdr w:val="none" w:color="auto" w:sz="0" w:space="0"/>
          <w:shd w:val="clear" w:fill="FFFFFF"/>
        </w:rPr>
        <w:t>文本一：</w:t>
      </w:r>
    </w:p>
    <w:p w14:paraId="72E51A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秋天的梨花</w:t>
      </w:r>
    </w:p>
    <w:p w14:paraId="01633E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赵淑萍</w:t>
      </w:r>
    </w:p>
    <w:p w14:paraId="632323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她是家中最小的孩子，也是最受父母宠爱的孩子。</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1AE882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那一年，一个秋日的黄昏，难得度假的父母在老家的田野里散步。突然，母亲看到梨树上有几朵梨花开着，洁白无瑕的小花在绿叶间，如此清新，如此明媚。怎么秋天也会有梨花开呢？打小在城里长大的母亲觉得很新奇。父亲说，十月小阳春，天气和暖，所以有梨花开。就是那个假期，母亲怀上了她。此时母亲已年近五十，亲友们都建议她不要这个孩子了。</w:t>
      </w:r>
    </w:p>
    <w:p w14:paraId="74A188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可是，母亲想起了三十年前的春天。那时，日寇入侵，精通医术的父亲参加抗日救卫队去了。父亲在战场上救死扶伤，母亲则腆着个大肚子，在父亲的老家——一个小山村待产。母亲生下一个白白胖胖的女孩。可是，孩子出生不久就身体泛紫，嘴唇发乌，呼吸微弱，面色苍白。母亲首次生产，毫无经验。旁边人也不懂，不知道这是新生儿窒息，应该采取急救措施，还在一旁摇晃、安抚，就这样，孩子夭亡了。母亲记得，春天下了一场雨，屋外的梨花，一朵朵都含着泪。母亲的泪，也像雨一样，不住地流。</w:t>
      </w:r>
    </w:p>
    <w:p w14:paraId="6B65FC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后来，战争结束了，父亲和母亲团聚了。再后来，中华人民共和国建立了，父亲和他的同仁们一起创建了市中医院。在她之前，父母已有了五个孩子。想起盛开在秋日黄昏的梨花和那个多难的春天，母亲有种预感，是不是三十年前的那个孩子又回来了，于是，不顾劝阻，母亲执意要生下这个孩子。也许是出于对第一个孩子的负疚，父亲有生以来第一次接生，他亲自把这个小女儿迎接到了这个世界上。</w:t>
      </w:r>
    </w:p>
    <w:p w14:paraId="4CA3D5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她来到这世上，享尽了父母和哥哥姐姐们的宠爱。哥哥姐姐们个个都跟着父亲学医，很小的时候就背汤头歌，抄方子，而她不喜欢，她喜欢背唐诗宋词。破天荒的，父亲允许这个最小的女儿不学医，由着她的兴趣。最后，她成了一名出色的图书编辑。“这样也好，我们负责给患者诊治。你就负责给一本本书把脉。”父亲说。</w:t>
      </w:r>
    </w:p>
    <w:p w14:paraId="000D65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三十多岁时，她一次外出采风回来，突发恶性疟疾，剧烈头痛、呕吐，有性命之虞。平时对她视若珍宝的父亲，这次狠心开了足够剂量的砒霜，这砒霜的量，令从医的哥哥姐姐们都咋舌。结果，砒霜把她从死亡线上拉了回来。这让父亲在中医界的声誉达到了顶峰。“毒药猛剂善起沉疴，虫类搜剔能疗痼疾。”父亲的用方让同行叹服。</w:t>
      </w:r>
    </w:p>
    <w:p w14:paraId="5BA1BD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退休后父亲仍然被聘为中医院的顾问，每星期还去坐堂。为了中医院迁址重建，父亲多方呼吁，四处奔走，而新的中医院大楼落成的那天，父亲却病倒了。</w:t>
      </w:r>
    </w:p>
    <w:p w14:paraId="77799E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连日来，他高热不退，嘴里说着“黄芪”“白术”“当归”等。每次父亲发高热，都不说胡话，只喊药名。他们多希望，95岁的父亲，能够再次扛过去。可是这次，却扛不过去了。</w:t>
      </w:r>
    </w:p>
    <w:p w14:paraId="500829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那天，父亲清醒后，把他们都叫到床前，吩咐后事。最后，把她单独留下。“孩子你知道吗，爸爸一生行医，救活人无数，但是，难免有疏漏误诊的时候。还记得那次我给你看病吗？在你之前，也有一个姑娘，我太谨慎，用的砒霜剂量不够，最后，没能挽回她的生命。到了你这里，我纠正了，所以，把你从死亡线上拉回来了。爸爸这些年，把自己误诊的病例都写下来，结集成册，希望你给我编辑出版。”父亲让母亲从抽屉里捧出一沓稿纸。</w:t>
      </w:r>
    </w:p>
    <w:p w14:paraId="6F0308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她沉默了，她明白，以父亲的声望和地位，出版这本书，会给他带来什么，但是，出版这本书，对中医界来说，却是一种福泽。父亲看着她，那眼神，如此明亮，如此坚定，容不得她犹豫，她点点头。</w:t>
      </w:r>
    </w:p>
    <w:p w14:paraId="1391D8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《误诊记》出版了，她和哥哥姐姐们校了又校。封面上，夕阳中一枝梨花，洁白无瑕。</w:t>
      </w:r>
    </w:p>
    <w:p w14:paraId="49A758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bCs/>
          <w:i w:val="0"/>
          <w:iCs w:val="0"/>
          <w:caps w:val="0"/>
          <w:spacing w:val="8"/>
          <w:sz w:val="25"/>
          <w:szCs w:val="25"/>
          <w:bdr w:val="none" w:color="auto" w:sz="0" w:space="0"/>
          <w:shd w:val="clear" w:fill="FFFFFF"/>
        </w:rPr>
        <w:t>文本二：</w:t>
      </w:r>
    </w:p>
    <w:p w14:paraId="218ADA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冯骥才先生曾经说过，一个人自由自在地走在路上，那就是散文；一个人忽然被推到水里，那就是小说。那么我想。他怎么会被推到水里的呢？掉到水里面后，他的反应如何呢？别人又对他做了些什么呢？然后这个故事就可以展开，你如果把这些写得细致传神，那你就成功了。</w:t>
      </w:r>
    </w:p>
    <w:p w14:paraId="11156A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接下去我要讲一讲人物。小说就是要刻画典型环境中的典型人物。我觉得小说还有一点就是它偏爱小人物和边缘人物。还有一点呢，我要说这个文学当中的人物。你一定要把他刻画得非常生动。至于他到底是好人坏人，你不要去纠结这个。我觉得作家的使命就在于把人物刻画得栩栩如生，这就可以了。至于读者怎么去看，那是读者的事情，作家给读者留下的空间越大说明他的小说越是成功。如果说他写的这个人，符合以上特点并且能够引发一场争议的话，说明他这个小说人物塑造是最到位的。</w:t>
      </w:r>
    </w:p>
    <w:p w14:paraId="73C755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right"/>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（摘编自尹燕忠《作家赵淑萍老师谈小小说的创作》）</w:t>
      </w:r>
    </w:p>
    <w:p w14:paraId="03B692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6. 下列对对文本一相关内容和艺术特色的分析鉴赏，不正确的一项是（3分）</w:t>
      </w:r>
    </w:p>
    <w:p w14:paraId="4468BC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小说采用全知视角展开叙述，便于交代母亲年近五十仍执意要生下她的原因及心理，也便于多角度地塑造父亲的形象。</w:t>
      </w:r>
    </w:p>
    <w:p w14:paraId="587EB9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仅仅是用药剂量的微小差异，却给两个病人带来截然不同的治疗效果，作者由此慨叹中医的博大与玄妙。</w:t>
      </w:r>
    </w:p>
    <w:p w14:paraId="33CDAF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父亲形象感人至深。日寇入侵，他参加抗日救卫队，救死扶伤；建国后，他和同仁一起建立中医院，鞠躬尽瘁。</w:t>
      </w:r>
    </w:p>
    <w:p w14:paraId="32FCBE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这篇小说将平常人、寻常事当作描述的主体，从看似不经意之处，探求人生真谛，挖掘寻常之中隐匿的价值。</w:t>
      </w:r>
    </w:p>
    <w:p w14:paraId="0060E9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7. 下列作品中的人物，不能集中体现赵淑萍关于塑造人物“最到位”理论的一项是（3分）</w:t>
      </w:r>
    </w:p>
    <w:p w14:paraId="449869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赛船过后，城中的戍军长官为了与民同乐，便派士兵把三十只绿头长颈大雄鸭放入河中，尽善于泅水的军民等下水赶鸭子。（《边城》）</w:t>
      </w:r>
    </w:p>
    <w:p w14:paraId="573703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晴雯听了，笑道：“既这么说，你就拿了来我撕，我最喜欢撕的。”晴雯果然接过来，嗤的一声，撕了两半，接着嗤嗤又听几声。（《红楼梦》）</w:t>
      </w:r>
    </w:p>
    <w:p w14:paraId="49B8AB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柳妈的打皱的脸也笑起来，使她蹙缩得像一个核桃；干枯的小眼睛钉住祥林嫂的眼。“祥林嫂，你实在不合算。”柳妈诡秘地说。（《祝福》）</w:t>
      </w:r>
    </w:p>
    <w:p w14:paraId="618A79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林冲将三个人头发结做一处，提入庙里来，都摆在山神庙面前供桌上。将葫芦里冷酒都吃尽了，提了枪，便出庙门投东去。（《水浒传》）</w:t>
      </w:r>
    </w:p>
    <w:p w14:paraId="1BC36B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8. 小说以“秋天的梨花”为题，且多次写到“梨花”，请你说说这一意象所起到的作用。（4分）</w:t>
      </w:r>
    </w:p>
    <w:p w14:paraId="3F3336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2C7EEA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0E3B81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9. 冯骥才认为小说创作的两个要素是什么？请结合文本一分析赵淑萍的小说是怎样体现这两个要素的。（6分）</w:t>
      </w:r>
    </w:p>
    <w:p w14:paraId="701793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526C59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39662A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（三）阅读Ⅲ</w:t>
      </w:r>
      <w:r>
        <w:rPr>
          <w:rFonts w:hint="eastAsia" w:ascii="宋体" w:hAnsi="宋体" w:eastAsia="宋体" w:cs="宋体"/>
          <w:b w:val="0"/>
          <w:bCs w:val="0"/>
          <w:i w:val="0"/>
          <w:iCs w:val="0"/>
          <w:caps w:val="0"/>
          <w:spacing w:val="8"/>
          <w:sz w:val="25"/>
          <w:szCs w:val="25"/>
          <w:bdr w:val="none" w:color="auto" w:sz="0" w:space="0"/>
          <w:shd w:val="clear" w:fill="FFFFFF"/>
        </w:rPr>
        <w:t>（本题共5小题，22分）</w:t>
      </w:r>
    </w:p>
    <w:p w14:paraId="771119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阅读下面的文言文，完成</w:t>
      </w:r>
      <w:r>
        <w:rPr>
          <w:rFonts w:hint="default" w:ascii="Times New Roman" w:hAnsi="Times New Roman" w:cs="Times New Roman"/>
          <w:b w:val="0"/>
          <w:bCs w:val="0"/>
          <w:i w:val="0"/>
          <w:iCs w:val="0"/>
          <w:caps w:val="0"/>
          <w:spacing w:val="8"/>
          <w:sz w:val="25"/>
          <w:szCs w:val="25"/>
          <w:bdr w:val="none" w:color="auto" w:sz="0" w:space="0"/>
          <w:shd w:val="clear" w:fill="FFFFFF"/>
        </w:rPr>
        <w:t>10～14</w:t>
      </w:r>
      <w:r>
        <w:rPr>
          <w:rFonts w:hint="eastAsia" w:ascii="宋体" w:hAnsi="宋体" w:eastAsia="宋体" w:cs="宋体"/>
          <w:b w:val="0"/>
          <w:bCs w:val="0"/>
          <w:i w:val="0"/>
          <w:iCs w:val="0"/>
          <w:caps w:val="0"/>
          <w:spacing w:val="8"/>
          <w:sz w:val="25"/>
          <w:szCs w:val="25"/>
          <w:bdr w:val="none" w:color="auto" w:sz="0" w:space="0"/>
          <w:shd w:val="clear" w:fill="FFFFFF"/>
        </w:rPr>
        <w:t>题。</w:t>
      </w:r>
    </w:p>
    <w:p w14:paraId="2BAF60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材料一：</w:t>
      </w:r>
    </w:p>
    <w:p w14:paraId="335A67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张方平，字安道，号乐全居士。少颖悟绝伦，家贫无书，从人假三史，旬日即归之，曰：“吾已得其详矣。”凡书皆一阅不再读，宋绶、蔡齐以为天下奇才。举茂材异等，为校书郎、知昆山县。又中贤良方正，选迁著作佐郎。夏人寇边，</w:t>
      </w:r>
      <w:r>
        <w:rPr>
          <w:rFonts w:hint="eastAsia" w:ascii="楷体" w:hAnsi="楷体" w:eastAsia="楷体" w:cs="楷体"/>
          <w:b w:val="0"/>
          <w:bCs w:val="0"/>
          <w:i w:val="0"/>
          <w:iCs w:val="0"/>
          <w:caps w:val="0"/>
          <w:spacing w:val="8"/>
          <w:sz w:val="25"/>
          <w:szCs w:val="25"/>
          <w:u w:val="single"/>
          <w:bdr w:val="none" w:color="auto" w:sz="0" w:space="0"/>
          <w:shd w:val="clear" w:fill="FFFFFF"/>
        </w:rPr>
        <w:t>方平首乞合枢密之职于中书以通谋议帝然之遂以宰相兼枢密使</w:t>
      </w:r>
      <w:r>
        <w:rPr>
          <w:rFonts w:hint="eastAsia" w:ascii="楷体" w:hAnsi="楷体" w:eastAsia="楷体" w:cs="楷体"/>
          <w:b w:val="0"/>
          <w:bCs w:val="0"/>
          <w:i w:val="0"/>
          <w:iCs w:val="0"/>
          <w:caps w:val="0"/>
          <w:spacing w:val="8"/>
          <w:sz w:val="25"/>
          <w:szCs w:val="25"/>
          <w:bdr w:val="none" w:color="auto" w:sz="0" w:space="0"/>
          <w:shd w:val="clear" w:fill="FFFFFF"/>
        </w:rPr>
        <w:t>。时调诸道弓手，刺其壮者为宣毅、保捷，方平连疏争之，弗听。既而两军骄甚，合二十余万，皆市人不可用，如方平言。既，既，以修起居注使契丹。契丹主顾左右曰“有臣如此，佳哉”，骑而击球于前，酌玉卮饮之，且赠以所乘马。还，知制诰，权知开封府。府事丛集，前尹率书板识之，方平独默记决遣，无少差忘。进翰林学士。英宗立，迁礼部尚书，请知郓州。还，为学士承旨。帝不豫，召至福宁殿，帝冯几言，言不可辨。方平进笔请，乃书云：“明日降诏，立皇太子。”方平抗声曰：“必颍王也，嫡长而贤，请书其名。”帝力疾书之，乃退草制。</w:t>
      </w:r>
      <w:r>
        <w:rPr>
          <w:rFonts w:hint="eastAsia" w:ascii="楷体" w:hAnsi="楷体" w:eastAsia="楷体" w:cs="楷体"/>
          <w:b w:val="0"/>
          <w:bCs w:val="0"/>
          <w:i w:val="0"/>
          <w:iCs w:val="0"/>
          <w:caps w:val="0"/>
          <w:spacing w:val="8"/>
          <w:sz w:val="25"/>
          <w:szCs w:val="25"/>
          <w:u w:val="single"/>
          <w:bdr w:val="none" w:color="auto" w:sz="0" w:space="0"/>
          <w:shd w:val="clear" w:fill="FFFFFF"/>
        </w:rPr>
        <w:t>方平慷慨有气节，既告老，论事益切，至于用兵、起狱，尤反覆言之。</w:t>
      </w:r>
      <w:r>
        <w:rPr>
          <w:rFonts w:hint="eastAsia" w:ascii="楷体" w:hAnsi="楷体" w:eastAsia="楷体" w:cs="楷体"/>
          <w:b w:val="0"/>
          <w:bCs w:val="0"/>
          <w:i w:val="0"/>
          <w:iCs w:val="0"/>
          <w:caps w:val="0"/>
          <w:spacing w:val="8"/>
          <w:sz w:val="25"/>
          <w:szCs w:val="25"/>
          <w:bdr w:val="none" w:color="auto" w:sz="0" w:space="0"/>
          <w:shd w:val="clear" w:fill="FFFFFF"/>
        </w:rPr>
        <w:t>且曰：“臣且死，见先帝地下，有以藉口矣。”平居未尝以言徇物，以色假人。守蜀日，得眉山苏洵与其二子轼、辙，深器异之。尝荐轼为谏官。轼下制狱，又抗章为请，故轼终身敬事之，叙其文，以比孔融、诸葛亮。</w:t>
      </w:r>
    </w:p>
    <w:p w14:paraId="748B88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right"/>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（节选自《宋史·张方平传》）</w:t>
      </w:r>
    </w:p>
    <w:p w14:paraId="1C86FF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材料二：</w:t>
      </w:r>
    </w:p>
    <w:p w14:paraId="1C3BBD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孔北海志大而论高，功烈不见于世，然英伟豪杰之气，自为一时所宗。其论盛孝章、郗鸿豫书，慨然有烈丈夫之风。诸葛孔明不以文章自名，而开物成务之姿，综练名实之意，自见于言语。至《出师表》简而尽，直而不肆，大哉言乎，非泰汉以来以事君为悦者所能至也。常恨二人之文，不见其全。今吾乐全先生张公安道，其庶几乎! </w:t>
      </w:r>
    </w:p>
    <w:p w14:paraId="7A7640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公尽性知命，体乎自然，而行乎不得已，非蕲以文字名世者也。</w:t>
      </w:r>
      <w:r>
        <w:rPr>
          <w:rFonts w:hint="eastAsia" w:ascii="楷体" w:hAnsi="楷体" w:eastAsia="楷体" w:cs="楷体"/>
          <w:b w:val="0"/>
          <w:bCs w:val="0"/>
          <w:i w:val="0"/>
          <w:iCs w:val="0"/>
          <w:caps w:val="0"/>
          <w:spacing w:val="8"/>
          <w:sz w:val="25"/>
          <w:szCs w:val="25"/>
          <w:u w:val="single"/>
          <w:bdr w:val="none" w:color="auto" w:sz="0" w:space="0"/>
          <w:shd w:val="clear" w:fill="FFFFFF"/>
        </w:rPr>
        <w:t>然自庆历以来讫元丰四十余年，所与人主论天下事，见于章疏者多矣。</w:t>
      </w:r>
      <w:r>
        <w:rPr>
          <w:rFonts w:hint="eastAsia" w:ascii="楷体" w:hAnsi="楷体" w:eastAsia="楷体" w:cs="楷体"/>
          <w:b w:val="0"/>
          <w:bCs w:val="0"/>
          <w:i w:val="0"/>
          <w:iCs w:val="0"/>
          <w:caps w:val="0"/>
          <w:spacing w:val="8"/>
          <w:sz w:val="25"/>
          <w:szCs w:val="25"/>
          <w:bdr w:val="none" w:color="auto" w:sz="0" w:space="0"/>
          <w:shd w:val="clear" w:fill="FFFFFF"/>
        </w:rPr>
        <w:t>或用或不用，而皆本于礼义，合于人情。及其他诗文，皆清远雄丽，读者可以想见其为人。信乎其有似于孔北海、诸葛孔明也。</w:t>
      </w:r>
    </w:p>
    <w:p w14:paraId="7A4612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轼年二十，以诸生见公成都，公一见待以国士，今三十余年，所以开发成就之者至矣，而轼终无所效尺寸于公者，独求其文集，手校而家藏之，且论其大略，以待后世之君子。</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536243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right"/>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（节选自苏轼《&lt;乐全先生文集&gt;叙》）</w:t>
      </w:r>
    </w:p>
    <w:p w14:paraId="403667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10. </w:t>
      </w:r>
      <w:r>
        <w:rPr>
          <w:rFonts w:hint="eastAsia" w:ascii="宋体" w:hAnsi="宋体" w:eastAsia="宋体" w:cs="宋体"/>
          <w:b w:val="0"/>
          <w:bCs w:val="0"/>
          <w:i w:val="0"/>
          <w:iCs w:val="0"/>
          <w:caps w:val="0"/>
          <w:spacing w:val="8"/>
          <w:sz w:val="25"/>
          <w:szCs w:val="25"/>
          <w:bdr w:val="none" w:color="auto" w:sz="0" w:space="0"/>
          <w:shd w:val="clear" w:fill="FFFFFF"/>
        </w:rPr>
        <w:t>材料一画波浪线的部分有三处需要断句，请用铅笔将答题卡上相应位置的答案标号涂黑，每涂对一处给1分，涂黑超过三处不给分。（3分）</w:t>
      </w:r>
    </w:p>
    <w:p w14:paraId="702A6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方平首乞A合枢密之职B于中书C以通D谋议E帝F然之G遂以H宰相兼枢密使</w:t>
      </w:r>
    </w:p>
    <w:p w14:paraId="297541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11. 下列对材料中加点的词语及相关内容的解说，不正确的一项是（3分）</w:t>
      </w:r>
    </w:p>
    <w:p w14:paraId="4EE8F4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假，借，与《劝学》“假舆马者，非利足也”的“假”意思不尽相同。</w:t>
      </w:r>
    </w:p>
    <w:p w14:paraId="1097DD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茂材，即秀才，东汉时因避光武帝刘秀之讳而改为茂材，亦作“茂才”。</w:t>
      </w:r>
    </w:p>
    <w:p w14:paraId="0713BF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叙，同“序”，此作动词，与“《&lt;乐全先生文集&gt;叙》”的“叙”用法不同。</w:t>
      </w:r>
    </w:p>
    <w:p w14:paraId="5C3416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效，报效、报答，与《出师表》“不效，则治臣之罪”的“效”意思相同。</w:t>
      </w:r>
    </w:p>
    <w:p w14:paraId="61F4B5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12. 下列对材料有关内容的概述，不正确的一项是（3分）</w:t>
      </w:r>
    </w:p>
    <w:p w14:paraId="5CB88F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张方平少时聪明绝顶，读书过目不忘，被人视为天下奇才；开封府事务繁杂，前任知府多用书板记录，他靠默记决断发遣，从无差错遗忘。</w:t>
      </w:r>
    </w:p>
    <w:p w14:paraId="2BDFDA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张方平以修起居注的身份出使契丹，契丹王对他大加称赞，拿玉卮斟酒给他喝，并且把自己所骑的马赠送给他，回国后他被晋升为知制诰。</w:t>
      </w:r>
    </w:p>
    <w:p w14:paraId="45EDD7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英宗身体不适，召张方平到福宁殿，皇帝靠着几案说话听不清楚，他递笔请示，皇帝表示明天下诏，册立太子，方平坚决拒绝立颍王为太子。</w:t>
      </w:r>
    </w:p>
    <w:p w14:paraId="113B60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张方平平时正直不阿，不苟言笑，非常器重苏轼，第一次见面就待以国士，尽心栽培，苏轼十分感动，搜集、抄写、收藏其文集并为之作序。</w:t>
      </w:r>
    </w:p>
    <w:p w14:paraId="586630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13. 把材料中画横线的句子翻译成现代汉语。（8分）</w:t>
      </w:r>
    </w:p>
    <w:p w14:paraId="144598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（1）</w:t>
      </w:r>
      <w:r>
        <w:rPr>
          <w:rFonts w:hint="eastAsia" w:ascii="楷体" w:hAnsi="楷体" w:eastAsia="楷体" w:cs="楷体"/>
          <w:b w:val="0"/>
          <w:bCs w:val="0"/>
          <w:i w:val="0"/>
          <w:iCs w:val="0"/>
          <w:caps w:val="0"/>
          <w:spacing w:val="8"/>
          <w:sz w:val="25"/>
          <w:szCs w:val="25"/>
          <w:bdr w:val="none" w:color="auto" w:sz="0" w:space="0"/>
          <w:shd w:val="clear" w:fill="FFFFFF"/>
        </w:rPr>
        <w:t>方平慷慨有气节，既告老，论事益切，至于用兵、起狱，尤反覆言之。</w:t>
      </w:r>
      <w:r>
        <w:rPr>
          <w:rFonts w:hint="eastAsia" w:ascii="宋体" w:hAnsi="宋体" w:eastAsia="宋体" w:cs="宋体"/>
          <w:b w:val="0"/>
          <w:bCs w:val="0"/>
          <w:i w:val="0"/>
          <w:iCs w:val="0"/>
          <w:caps w:val="0"/>
          <w:spacing w:val="8"/>
          <w:sz w:val="25"/>
          <w:szCs w:val="25"/>
          <w:bdr w:val="none" w:color="auto" w:sz="0" w:space="0"/>
          <w:shd w:val="clear" w:fill="FFFFFF"/>
        </w:rPr>
        <w:t>（4分）</w:t>
      </w:r>
    </w:p>
    <w:p w14:paraId="1FA5D5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1BA32B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（2）</w:t>
      </w:r>
      <w:r>
        <w:rPr>
          <w:rFonts w:hint="eastAsia" w:ascii="楷体" w:hAnsi="楷体" w:eastAsia="楷体" w:cs="楷体"/>
          <w:b w:val="0"/>
          <w:bCs w:val="0"/>
          <w:i w:val="0"/>
          <w:iCs w:val="0"/>
          <w:caps w:val="0"/>
          <w:spacing w:val="8"/>
          <w:sz w:val="25"/>
          <w:szCs w:val="25"/>
          <w:bdr w:val="none" w:color="auto" w:sz="0" w:space="0"/>
          <w:shd w:val="clear" w:fill="FFFFFF"/>
        </w:rPr>
        <w:t>然自庆历以来讫元丰四十余年，所与人主论天下事，见于章疏者多矣。</w:t>
      </w:r>
      <w:r>
        <w:rPr>
          <w:rFonts w:hint="eastAsia" w:ascii="宋体" w:hAnsi="宋体" w:eastAsia="宋体" w:cs="宋体"/>
          <w:b w:val="0"/>
          <w:bCs w:val="0"/>
          <w:i w:val="0"/>
          <w:iCs w:val="0"/>
          <w:caps w:val="0"/>
          <w:spacing w:val="8"/>
          <w:sz w:val="25"/>
          <w:szCs w:val="25"/>
          <w:bdr w:val="none" w:color="auto" w:sz="0" w:space="0"/>
          <w:shd w:val="clear" w:fill="FFFFFF"/>
        </w:rPr>
        <w:t>（4分）</w:t>
      </w:r>
    </w:p>
    <w:p w14:paraId="0BD3F6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 </w:t>
      </w:r>
    </w:p>
    <w:p w14:paraId="718F2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14.</w:t>
      </w:r>
      <w:r>
        <w:rPr>
          <w:rFonts w:hint="eastAsia" w:ascii="宋体" w:hAnsi="宋体" w:eastAsia="宋体" w:cs="宋体"/>
          <w:b w:val="0"/>
          <w:bCs w:val="0"/>
          <w:i w:val="0"/>
          <w:iCs w:val="0"/>
          <w:caps w:val="0"/>
          <w:spacing w:val="8"/>
          <w:sz w:val="25"/>
          <w:szCs w:val="25"/>
          <w:bdr w:val="none" w:color="auto" w:sz="0" w:space="0"/>
          <w:shd w:val="clear" w:fill="FFFFFF"/>
        </w:rPr>
        <w:t>苏轼为什么把张方平比作孔融、诸葛亮？请简要分析。（5分）</w:t>
      </w:r>
    </w:p>
    <w:p w14:paraId="1DC5B1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1C7FDD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bCs/>
          <w:i w:val="0"/>
          <w:iCs w:val="0"/>
          <w:caps w:val="0"/>
          <w:spacing w:val="8"/>
          <w:sz w:val="25"/>
          <w:szCs w:val="25"/>
          <w:bdr w:val="none" w:color="auto" w:sz="0" w:space="0"/>
          <w:shd w:val="clear" w:fill="FFFFFF"/>
        </w:rPr>
        <w:t> </w:t>
      </w:r>
    </w:p>
    <w:p w14:paraId="2516E1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（四）阅读Ⅳ</w:t>
      </w:r>
      <w:r>
        <w:rPr>
          <w:rFonts w:hint="eastAsia" w:ascii="宋体" w:hAnsi="宋体" w:eastAsia="宋体" w:cs="宋体"/>
          <w:b w:val="0"/>
          <w:bCs w:val="0"/>
          <w:i w:val="0"/>
          <w:iCs w:val="0"/>
          <w:caps w:val="0"/>
          <w:spacing w:val="8"/>
          <w:sz w:val="25"/>
          <w:szCs w:val="25"/>
          <w:bdr w:val="none" w:color="auto" w:sz="0" w:space="0"/>
          <w:shd w:val="clear" w:fill="FFFFFF"/>
        </w:rPr>
        <w:t>（本题共2小题，9分）</w:t>
      </w:r>
    </w:p>
    <w:p w14:paraId="025B9C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阅读下面这首宋诗，完成</w:t>
      </w:r>
      <w:r>
        <w:rPr>
          <w:rFonts w:hint="default" w:ascii="Times New Roman" w:hAnsi="Times New Roman" w:cs="Times New Roman"/>
          <w:b w:val="0"/>
          <w:bCs w:val="0"/>
          <w:i w:val="0"/>
          <w:iCs w:val="0"/>
          <w:caps w:val="0"/>
          <w:spacing w:val="8"/>
          <w:sz w:val="25"/>
          <w:szCs w:val="25"/>
          <w:bdr w:val="none" w:color="auto" w:sz="0" w:space="0"/>
          <w:shd w:val="clear" w:fill="FFFFFF"/>
        </w:rPr>
        <w:t>15～16</w:t>
      </w:r>
      <w:r>
        <w:rPr>
          <w:rFonts w:hint="eastAsia" w:ascii="宋体" w:hAnsi="宋体" w:eastAsia="宋体" w:cs="宋体"/>
          <w:b w:val="0"/>
          <w:bCs w:val="0"/>
          <w:i w:val="0"/>
          <w:iCs w:val="0"/>
          <w:caps w:val="0"/>
          <w:spacing w:val="8"/>
          <w:sz w:val="25"/>
          <w:szCs w:val="25"/>
          <w:bdr w:val="none" w:color="auto" w:sz="0" w:space="0"/>
          <w:shd w:val="clear" w:fill="FFFFFF"/>
        </w:rPr>
        <w:t>题。</w:t>
      </w:r>
    </w:p>
    <w:p w14:paraId="30016E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咏雪奉呈广平公</w:t>
      </w:r>
      <w:r>
        <w:rPr>
          <w:rFonts w:hint="eastAsia" w:ascii="楷体" w:hAnsi="楷体" w:eastAsia="楷体" w:cs="楷体"/>
          <w:b w:val="0"/>
          <w:bCs w:val="0"/>
          <w:i w:val="0"/>
          <w:iCs w:val="0"/>
          <w:caps w:val="0"/>
          <w:spacing w:val="8"/>
          <w:sz w:val="25"/>
          <w:szCs w:val="25"/>
          <w:bdr w:val="none" w:color="auto" w:sz="0" w:space="0"/>
          <w:shd w:val="clear" w:fill="FFFFFF"/>
          <w:vertAlign w:val="superscript"/>
        </w:rPr>
        <w:t>①</w:t>
      </w:r>
    </w:p>
    <w:p w14:paraId="5E151B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仿宋" w:hAnsi="仿宋" w:eastAsia="仿宋" w:cs="仿宋"/>
          <w:b w:val="0"/>
          <w:bCs w:val="0"/>
          <w:i w:val="0"/>
          <w:iCs w:val="0"/>
          <w:caps w:val="0"/>
          <w:spacing w:val="8"/>
          <w:sz w:val="25"/>
          <w:szCs w:val="25"/>
          <w:bdr w:val="none" w:color="auto" w:sz="0" w:space="0"/>
          <w:shd w:val="clear" w:fill="FFFFFF"/>
        </w:rPr>
        <w:t>黄庭坚</w:t>
      </w:r>
    </w:p>
    <w:p w14:paraId="098531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连空春雪明如洗，忽忆江清水见沙。</w:t>
      </w:r>
    </w:p>
    <w:p w14:paraId="73AE11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夜听疏疏还密密，晓看整整复斜斜。</w:t>
      </w:r>
    </w:p>
    <w:p w14:paraId="3AAE6C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风回共作婆娑舞，天巧能开顷刻花。</w:t>
      </w:r>
    </w:p>
    <w:p w14:paraId="4557D8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center"/>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 政使</w:t>
      </w:r>
      <w:r>
        <w:rPr>
          <w:rFonts w:hint="eastAsia" w:ascii="楷体" w:hAnsi="楷体" w:eastAsia="楷体" w:cs="楷体"/>
          <w:b w:val="0"/>
          <w:bCs w:val="0"/>
          <w:i w:val="0"/>
          <w:iCs w:val="0"/>
          <w:caps w:val="0"/>
          <w:spacing w:val="8"/>
          <w:sz w:val="25"/>
          <w:szCs w:val="25"/>
          <w:bdr w:val="none" w:color="auto" w:sz="0" w:space="0"/>
          <w:shd w:val="clear" w:fill="FFFFFF"/>
          <w:vertAlign w:val="superscript"/>
        </w:rPr>
        <w:t>②</w:t>
      </w:r>
      <w:r>
        <w:rPr>
          <w:rFonts w:hint="eastAsia" w:ascii="楷体" w:hAnsi="楷体" w:eastAsia="楷体" w:cs="楷体"/>
          <w:b w:val="0"/>
          <w:bCs w:val="0"/>
          <w:i w:val="0"/>
          <w:iCs w:val="0"/>
          <w:caps w:val="0"/>
          <w:spacing w:val="8"/>
          <w:sz w:val="25"/>
          <w:szCs w:val="25"/>
          <w:bdr w:val="none" w:color="auto" w:sz="0" w:space="0"/>
          <w:shd w:val="clear" w:fill="FFFFFF"/>
        </w:rPr>
        <w:t>尽情寒至骨，不妨桃李用</w:t>
      </w:r>
      <w:r>
        <w:rPr>
          <w:rFonts w:hint="eastAsia" w:ascii="楷体" w:hAnsi="楷体" w:eastAsia="楷体" w:cs="楷体"/>
          <w:b w:val="0"/>
          <w:bCs w:val="0"/>
          <w:i w:val="0"/>
          <w:iCs w:val="0"/>
          <w:caps w:val="0"/>
          <w:spacing w:val="8"/>
          <w:sz w:val="25"/>
          <w:szCs w:val="25"/>
          <w:bdr w:val="none" w:color="auto" w:sz="0" w:space="0"/>
          <w:shd w:val="clear" w:fill="FFFFFF"/>
          <w:vertAlign w:val="superscript"/>
        </w:rPr>
        <w:t>③</w:t>
      </w:r>
      <w:r>
        <w:rPr>
          <w:rFonts w:hint="eastAsia" w:ascii="楷体" w:hAnsi="楷体" w:eastAsia="楷体" w:cs="楷体"/>
          <w:b w:val="0"/>
          <w:bCs w:val="0"/>
          <w:i w:val="0"/>
          <w:iCs w:val="0"/>
          <w:caps w:val="0"/>
          <w:spacing w:val="8"/>
          <w:sz w:val="25"/>
          <w:szCs w:val="25"/>
          <w:bdr w:val="none" w:color="auto" w:sz="0" w:space="0"/>
          <w:shd w:val="clear" w:fill="FFFFFF"/>
        </w:rPr>
        <w:t>年华。</w:t>
      </w:r>
    </w:p>
    <w:p w14:paraId="7A78F9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仿宋" w:hAnsi="仿宋" w:eastAsia="仿宋" w:cs="仿宋"/>
          <w:b/>
          <w:bCs/>
          <w:i w:val="0"/>
          <w:iCs w:val="0"/>
          <w:caps w:val="0"/>
          <w:spacing w:val="8"/>
          <w:sz w:val="25"/>
          <w:szCs w:val="25"/>
          <w:bdr w:val="none" w:color="auto" w:sz="0" w:space="0"/>
          <w:shd w:val="clear" w:fill="FFFFFF"/>
        </w:rPr>
        <w:t>[注]</w:t>
      </w:r>
      <w:r>
        <w:rPr>
          <w:rFonts w:hint="eastAsia" w:ascii="仿宋" w:hAnsi="仿宋" w:eastAsia="仿宋" w:cs="仿宋"/>
          <w:b w:val="0"/>
          <w:bCs w:val="0"/>
          <w:i w:val="0"/>
          <w:iCs w:val="0"/>
          <w:caps w:val="0"/>
          <w:spacing w:val="8"/>
          <w:sz w:val="25"/>
          <w:szCs w:val="25"/>
          <w:bdr w:val="none" w:color="auto" w:sz="0" w:space="0"/>
          <w:shd w:val="clear" w:fill="FFFFFF"/>
        </w:rPr>
        <w:t>①本诗写于宋哲宗元祐二年的冬天，黄庭坚正于京城担任著作佐郎，当时他虽然生活寒索俭淡但仕途顺利，文学创作比较频繁。广平公，是诗人的朋友宋盈祖。②政使：纵使。③用：享用。</w:t>
      </w:r>
    </w:p>
    <w:p w14:paraId="39290F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15. </w:t>
      </w:r>
      <w:r>
        <w:rPr>
          <w:rFonts w:hint="eastAsia" w:ascii="宋体" w:hAnsi="宋体" w:eastAsia="宋体" w:cs="宋体"/>
          <w:b w:val="0"/>
          <w:bCs w:val="0"/>
          <w:i w:val="0"/>
          <w:iCs w:val="0"/>
          <w:caps w:val="0"/>
          <w:color w:val="000000"/>
          <w:spacing w:val="8"/>
          <w:sz w:val="25"/>
          <w:szCs w:val="25"/>
          <w:bdr w:val="none" w:color="auto" w:sz="0" w:space="0"/>
          <w:shd w:val="clear" w:fill="FFFFFF"/>
        </w:rPr>
        <w:t>下列对这首诗的理解和赏析，不正确的一项是（3分）</w:t>
      </w:r>
    </w:p>
    <w:p w14:paraId="30700B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A. 首联照应标题，点明吟咏对象“春雪”；“明如洗”“江清水见沙”凸显了春雪的特点。</w:t>
      </w:r>
    </w:p>
    <w:p w14:paraId="0D3E4F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B. 颈联运用拟人和比喻修辞手法，刻画出春雪飞舞的美丽场景，富有动态美，引人遐想。</w:t>
      </w:r>
    </w:p>
    <w:p w14:paraId="182595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C. 诗歌结尾卒章显志，借助妖艳的桃李来衬托春雪的清寒高洁，并以雪自喻，表明心迹。</w:t>
      </w:r>
    </w:p>
    <w:p w14:paraId="446166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D. 这是一首咏物言志之作，前六句描写雪景，寓情可景，后两句则由雪生情，寄寓怀抱。</w:t>
      </w:r>
    </w:p>
    <w:p w14:paraId="1BEE44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16. 苏轼认为，颔联正是黄诗的“佳处”。请简要分析诗歌颔联“佳”在何处。（6分）</w:t>
      </w:r>
    </w:p>
    <w:p w14:paraId="5F2AB4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 </w:t>
      </w:r>
    </w:p>
    <w:p w14:paraId="067C91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 </w:t>
      </w:r>
    </w:p>
    <w:p w14:paraId="29A065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（五）阅读Ⅴ</w:t>
      </w:r>
      <w:r>
        <w:rPr>
          <w:rFonts w:hint="eastAsia" w:ascii="宋体" w:hAnsi="宋体" w:eastAsia="宋体" w:cs="宋体"/>
          <w:b w:val="0"/>
          <w:bCs w:val="0"/>
          <w:i w:val="0"/>
          <w:iCs w:val="0"/>
          <w:caps w:val="0"/>
          <w:spacing w:val="8"/>
          <w:sz w:val="25"/>
          <w:szCs w:val="25"/>
          <w:bdr w:val="none" w:color="auto" w:sz="0" w:space="0"/>
          <w:shd w:val="clear" w:fill="FFFFFF"/>
        </w:rPr>
        <w:t>（本题共1小题，6分）</w:t>
      </w:r>
    </w:p>
    <w:p w14:paraId="18EA16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17. 补写出下列句子中的空缺部分。（6分）</w:t>
      </w:r>
    </w:p>
    <w:p w14:paraId="575FDD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（1）期中考试，小明发挥不佳，班主任鼓励他说：“李白在《将进酒》中写道，‘_______________，_______________’，我们也要像他那样自信乐观，相信自己的能力。一次小小的考试失利，算得了什么？”</w:t>
      </w:r>
      <w:r>
        <w:rPr>
          <w:rFonts w:hint="eastAsia" w:ascii="楷体" w:hAnsi="楷体" w:eastAsia="楷体" w:cs="楷体"/>
          <w:b w:val="0"/>
          <w:bCs w:val="0"/>
          <w:i w:val="0"/>
          <w:iCs w:val="0"/>
          <w:caps w:val="0"/>
          <w:color w:val="FFFFFF"/>
          <w:spacing w:val="8"/>
          <w:sz w:val="25"/>
          <w:szCs w:val="25"/>
          <w:bdr w:val="none" w:color="auto" w:sz="0" w:space="0"/>
          <w:shd w:val="clear" w:fill="FFFFFF"/>
        </w:rPr>
        <w:t> 超  然 客 公 众 号</w:t>
      </w:r>
    </w:p>
    <w:p w14:paraId="363E09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Calibri" w:hAnsi="Calibri" w:cs="Calibri"/>
          <w:b w:val="0"/>
          <w:bCs w:val="0"/>
          <w:i w:val="0"/>
          <w:iCs w:val="0"/>
          <w:caps w:val="0"/>
          <w:spacing w:val="8"/>
          <w:sz w:val="24"/>
          <w:szCs w:val="24"/>
          <w:bdr w:val="none" w:color="auto" w:sz="0" w:space="0"/>
          <w:shd w:val="clear" w:fill="FFFFFF"/>
        </w:rPr>
        <w:drawing>
          <wp:inline distT="0" distB="0" distL="114300" distR="114300">
            <wp:extent cx="1876425" cy="150495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876425" cy="1504950"/>
                    </a:xfrm>
                    <a:prstGeom prst="rect">
                      <a:avLst/>
                    </a:prstGeom>
                    <a:noFill/>
                    <a:ln w="9525">
                      <a:noFill/>
                    </a:ln>
                  </pic:spPr>
                </pic:pic>
              </a:graphicData>
            </a:graphic>
          </wp:inline>
        </w:drawing>
      </w:r>
      <w:r>
        <w:rPr>
          <w:rFonts w:hint="eastAsia" w:ascii="宋体" w:hAnsi="宋体" w:eastAsia="宋体" w:cs="宋体"/>
          <w:b w:val="0"/>
          <w:bCs w:val="0"/>
          <w:i w:val="0"/>
          <w:iCs w:val="0"/>
          <w:caps w:val="0"/>
          <w:spacing w:val="8"/>
          <w:sz w:val="25"/>
          <w:szCs w:val="25"/>
          <w:bdr w:val="none" w:color="auto" w:sz="0" w:space="0"/>
          <w:shd w:val="clear" w:fill="FFFFFF"/>
        </w:rPr>
        <w:t>（2）“对酒当歌，人生几何”，正如曹操所感慨的那样，陶渊明领略到大自然的勃勃生机后，在《归去来兮辞》中也发出“_______________，_______________”的深沉慨叹。</w:t>
      </w:r>
    </w:p>
    <w:p w14:paraId="17FB48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（3）与右图内容相契合的古诗文名句，可以是：“_______________，_______________”。</w:t>
      </w:r>
    </w:p>
    <w:p w14:paraId="5FEAAA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二、语言文字运用（本题共5小题，18分）</w:t>
      </w:r>
    </w:p>
    <w:p w14:paraId="03BDEE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阅读下面的文字，完成</w:t>
      </w:r>
      <w:r>
        <w:rPr>
          <w:rFonts w:hint="default" w:ascii="Times New Roman" w:hAnsi="Times New Roman" w:cs="Times New Roman"/>
          <w:b w:val="0"/>
          <w:bCs w:val="0"/>
          <w:i w:val="0"/>
          <w:iCs w:val="0"/>
          <w:caps w:val="0"/>
          <w:spacing w:val="8"/>
          <w:sz w:val="25"/>
          <w:szCs w:val="25"/>
          <w:bdr w:val="none" w:color="auto" w:sz="0" w:space="0"/>
          <w:shd w:val="clear" w:fill="FFFFFF"/>
        </w:rPr>
        <w:t>18～22</w:t>
      </w:r>
      <w:r>
        <w:rPr>
          <w:rFonts w:hint="eastAsia" w:ascii="宋体" w:hAnsi="宋体" w:eastAsia="宋体" w:cs="宋体"/>
          <w:b w:val="0"/>
          <w:bCs w:val="0"/>
          <w:i w:val="0"/>
          <w:iCs w:val="0"/>
          <w:caps w:val="0"/>
          <w:spacing w:val="8"/>
          <w:sz w:val="25"/>
          <w:szCs w:val="25"/>
          <w:bdr w:val="none" w:color="auto" w:sz="0" w:space="0"/>
          <w:shd w:val="clear" w:fill="FFFFFF"/>
        </w:rPr>
        <w:t>题。</w:t>
      </w:r>
    </w:p>
    <w:p w14:paraId="48A00B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红楼梦》第五十六回感叹：“怡红院别说别的，单只说春夏天一季玫瑰花，共下多少花?还有一带篱笆上蔷薇、月季、宝相、金银藤，单这没要紧的草花干了，卖到茶叶铺药铺去，也值几个钱。”玫瑰、蔷薇、月季、金银藤……对于这些花卉，人们都耳熟能详；而对于被曹雪芹拿来与上述传统名花排列在一起描述的“宝相”，许多读者摸不着头脑。</w:t>
      </w:r>
    </w:p>
    <w:p w14:paraId="34663F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①有人认为宝相就是蔷薇花，②但曹雪芹显然不是这么看的。③假如他认为两者是同一种花卉，④就没必要蔷薇与宝相相提并论。⑤从历代的典籍记载和诗文描述中，⑥我们可以概括出几大这种植物的特征：枝条柔韧带刺，具有攀缘性，花朵分为单瓣和重瓣两种，花色鲜艳而丰富，且气味芬芳，应该是与蔷薇近缘的某种蔷薇科蔷薇属植物。此外，古代诗人还提供了宝相花的原产地线索。北宋初年名相李昉曾在诗中写道：“宝相为嘉号，移根自蜀都。远来还可重，他处更应无。”这说明宝相是从四川不远万里被移栽到中原的。</w:t>
      </w:r>
    </w:p>
    <w:p w14:paraId="55321C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对照以上的植物形态、花期和产地等信息特征，______________。</w:t>
      </w:r>
    </w:p>
    <w:p w14:paraId="7406BA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木香花与蔷薇花虽然极为相似，但细致观察还是不难区分的。首先，从株型看，尽管两者都是爬藤植物，但攀爬能力存在差别，蔷薇通常只能长到两三米高，而木香花长到五六米不在话下。其次，看小叶。木香花的小叶通常是3～5片，罕见7片；蔷薇的小叶则相对较多，有5～9片。最后，看花期。木香花的花期在暮春和初夏之间，即四五月份；而蔷薇则可以从暮春一直陆续开放到初秋。</w:t>
      </w:r>
    </w:p>
    <w:p w14:paraId="6D2ADF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在我国许多地方，木香花的俗名叫“木蔷花”，常与蔷薇一道作为篱笆种在房前屋后。对民间习俗非常熟悉的曹雪芹，将这种经典的场景写进《红楼梦》里，也就（        ）了。</w:t>
      </w:r>
    </w:p>
    <w:p w14:paraId="690C89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18. 文中第二段标序号的部分有两处表述不当，请指出其序号并做修改，使语言准确流畅，逻辑严密。可少量增删词语，不得改变原意。（4分） </w:t>
      </w:r>
    </w:p>
    <w:p w14:paraId="1CB52B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51DBC2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6697C9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19. 下列填入文中横线处的句子，衔接最恰当的一项是（3分） </w:t>
      </w:r>
    </w:p>
    <w:p w14:paraId="610585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宝相的真容最终浮出水面，原来它就是木香花——蔷薇科蔷薇属的另一种重要观赏花卉</w:t>
      </w:r>
    </w:p>
    <w:p w14:paraId="75A6BD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 宝相的真容最终浮出水面，原来它就是蔷薇科蔷薇属的另一种重要观赏花卉——木香花</w:t>
      </w:r>
    </w:p>
    <w:p w14:paraId="61A8DC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 原来宝相就是蔷薇科蔷薇属的另一种重要观赏花卉——木香花，它的真容最终浮出水面</w:t>
      </w:r>
    </w:p>
    <w:p w14:paraId="232AF5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 原来宝相就是木香花——蔷薇科蔷薇属的另一种重要观赏花卉，它的真容最终浮出水面</w:t>
      </w:r>
    </w:p>
    <w:p w14:paraId="2A50F0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80"/>
        <w:jc w:val="left"/>
        <w:textAlignment w:val="auto"/>
        <w:rPr>
          <w:rFonts w:hint="default" w:ascii="Calibri" w:hAnsi="Calibri" w:cs="Calibri"/>
          <w:b w:val="0"/>
          <w:bCs w:val="0"/>
          <w:i w:val="0"/>
          <w:iCs w:val="0"/>
          <w:caps w:val="0"/>
          <w:spacing w:val="8"/>
          <w:sz w:val="24"/>
          <w:szCs w:val="24"/>
        </w:rPr>
      </w:pPr>
      <w:r>
        <w:rPr>
          <w:rFonts w:hint="default" w:ascii="Calibri" w:hAnsi="Calibri" w:cs="Calibri"/>
          <w:b w:val="0"/>
          <w:bCs w:val="0"/>
          <w:i w:val="0"/>
          <w:iCs w:val="0"/>
          <w:caps w:val="0"/>
          <w:spacing w:val="8"/>
          <w:sz w:val="24"/>
          <w:szCs w:val="24"/>
          <w:bdr w:val="none" w:color="auto" w:sz="0" w:space="0"/>
          <w:shd w:val="clear" w:fill="FFFFFF"/>
        </w:rPr>
        <w:drawing>
          <wp:inline distT="0" distB="0" distL="114300" distR="114300">
            <wp:extent cx="1866900" cy="27432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866900" cy="2743200"/>
                    </a:xfrm>
                    <a:prstGeom prst="rect">
                      <a:avLst/>
                    </a:prstGeom>
                    <a:noFill/>
                    <a:ln w="9525">
                      <a:noFill/>
                    </a:ln>
                  </pic:spPr>
                </pic:pic>
              </a:graphicData>
            </a:graphic>
          </wp:inline>
        </w:drawing>
      </w:r>
      <w:r>
        <w:rPr>
          <w:rFonts w:hint="default" w:ascii="Times New Roman" w:hAnsi="Times New Roman" w:cs="Times New Roman"/>
          <w:b w:val="0"/>
          <w:bCs w:val="0"/>
          <w:i w:val="0"/>
          <w:iCs w:val="0"/>
          <w:caps w:val="0"/>
          <w:spacing w:val="8"/>
          <w:sz w:val="25"/>
          <w:szCs w:val="25"/>
          <w:bdr w:val="none" w:color="auto" w:sz="0" w:space="0"/>
          <w:shd w:val="clear" w:fill="FFFFFF"/>
        </w:rPr>
        <w:t>20. 填人文中结尾段括号内的词语，不恰当的一项是（3分）</w:t>
      </w:r>
    </w:p>
    <w:p w14:paraId="3C8A0C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 不足为奇        B. 不足为怪        C. 不足为异        D. 不足为意</w:t>
      </w:r>
    </w:p>
    <w:p w14:paraId="765E7A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21. 学校生物兴趣小组要编纂一部中国花卉小词典，请根据上述材料，结合右图，为“木香花”撰写一则词条。要求：语言简明流畅，不超过90字。（4分）</w:t>
      </w:r>
    </w:p>
    <w:p w14:paraId="6EF18A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4B0BE0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6151D6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22. 选文思路清晰，逻辑严密，结构严谨。请写出四个问句，概括本文的写作思路。（4分）</w:t>
      </w:r>
    </w:p>
    <w:p w14:paraId="333EB6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2E4C7E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 </w:t>
      </w:r>
    </w:p>
    <w:p w14:paraId="675432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三、写作(60分)</w:t>
      </w:r>
    </w:p>
    <w:p w14:paraId="5D8095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23. </w:t>
      </w:r>
      <w:r>
        <w:rPr>
          <w:rFonts w:hint="eastAsia" w:ascii="宋体" w:hAnsi="宋体" w:eastAsia="宋体" w:cs="宋体"/>
          <w:b w:val="0"/>
          <w:bCs w:val="0"/>
          <w:i w:val="0"/>
          <w:iCs w:val="0"/>
          <w:caps w:val="0"/>
          <w:spacing w:val="8"/>
          <w:sz w:val="25"/>
          <w:szCs w:val="25"/>
          <w:bdr w:val="none" w:color="auto" w:sz="0" w:space="0"/>
          <w:shd w:val="clear" w:fill="FFFFFF"/>
        </w:rPr>
        <w:t>阅读下面的材料，根据要求写作。（60 分）</w:t>
      </w:r>
    </w:p>
    <w:p w14:paraId="49AF4A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以青春之我，创建青春之家庭，青春之国家，青春之民族，青春之人类，青春之地球，青春之宇宙，资以乐其无涯之生。——李大钊</w:t>
      </w:r>
    </w:p>
    <w:p w14:paraId="6EEA3D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什么是模范青年？就是要有永久奋斗这一条。——毛泽东</w:t>
      </w:r>
    </w:p>
    <w:p w14:paraId="36E4C0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青年人正处于学习的黄金时期，应该把学习作为首要任务，作为一种责任、一种精神追求、一种生活方式。——习近平</w:t>
      </w:r>
    </w:p>
    <w:p w14:paraId="00FEDB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作为新时代青年，以上材料引发了你怎样的联想和思考？请写一篇文章。</w:t>
      </w:r>
    </w:p>
    <w:p w14:paraId="58B0B5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要求：选准角度，确定立意，明确文体，自拟标题；不要套作，不得抄袭；不得泄露个人信息；不少于</w:t>
      </w:r>
      <w:r>
        <w:rPr>
          <w:rFonts w:hint="default" w:ascii="Times New Roman" w:hAnsi="Times New Roman" w:cs="Times New Roman"/>
          <w:b w:val="0"/>
          <w:bCs w:val="0"/>
          <w:i w:val="0"/>
          <w:iCs w:val="0"/>
          <w:caps w:val="0"/>
          <w:spacing w:val="8"/>
          <w:sz w:val="25"/>
          <w:szCs w:val="25"/>
          <w:bdr w:val="none" w:color="auto" w:sz="0" w:space="0"/>
          <w:shd w:val="clear" w:fill="FFFFFF"/>
        </w:rPr>
        <w:t>800</w:t>
      </w:r>
      <w:r>
        <w:rPr>
          <w:rFonts w:hint="eastAsia" w:ascii="宋体" w:hAnsi="宋体" w:eastAsia="宋体" w:cs="宋体"/>
          <w:b w:val="0"/>
          <w:bCs w:val="0"/>
          <w:i w:val="0"/>
          <w:iCs w:val="0"/>
          <w:caps w:val="0"/>
          <w:spacing w:val="8"/>
          <w:sz w:val="25"/>
          <w:szCs w:val="25"/>
          <w:bdr w:val="none" w:color="auto" w:sz="0" w:space="0"/>
          <w:shd w:val="clear" w:fill="FFFFFF"/>
        </w:rPr>
        <w:t>字。</w:t>
      </w:r>
    </w:p>
    <w:p w14:paraId="3C3599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ascii="Microsoft YaHei UI" w:hAnsi="Microsoft YaHei UI" w:eastAsia="Microsoft YaHei UI" w:cs="Microsoft YaHei UI"/>
          <w:i w:val="0"/>
          <w:iCs w:val="0"/>
          <w:caps w:val="0"/>
          <w:spacing w:val="8"/>
          <w:sz w:val="25"/>
          <w:szCs w:val="25"/>
        </w:rPr>
      </w:pPr>
    </w:p>
    <w:p w14:paraId="320EFE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6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bCs/>
          <w:i w:val="0"/>
          <w:iCs w:val="0"/>
          <w:caps w:val="0"/>
          <w:spacing w:val="8"/>
          <w:sz w:val="25"/>
          <w:szCs w:val="25"/>
          <w:bdr w:val="none" w:color="auto" w:sz="0" w:space="0"/>
          <w:shd w:val="clear" w:fill="FFFFFF"/>
        </w:rPr>
        <w:t> </w:t>
      </w:r>
    </w:p>
    <w:p w14:paraId="02289E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60"/>
        <w:jc w:val="center"/>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答案与解析</w:t>
      </w:r>
    </w:p>
    <w:p w14:paraId="60C77C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阅读Ⅰ导读</w:t>
      </w:r>
      <w:r>
        <w:rPr>
          <w:rFonts w:hint="default" w:ascii="Times New Roman" w:hAnsi="Times New Roman" w:cs="Times New Roman"/>
          <w:b w:val="0"/>
          <w:bCs w:val="0"/>
          <w:i w:val="0"/>
          <w:iCs w:val="0"/>
          <w:caps w:val="0"/>
          <w:spacing w:val="8"/>
          <w:sz w:val="25"/>
          <w:szCs w:val="25"/>
          <w:bdr w:val="none" w:color="auto" w:sz="0" w:space="0"/>
          <w:shd w:val="clear" w:fill="FFFFFF"/>
        </w:rPr>
        <w:t>] 两则材料分别探讨了水稻和美洲作物在中国历史上的传播与影响。材料一以时间为线索，详细描述了水稻从驯化到传播的过程，强调了其在早期中国文化格局形成中的重要性，并延伸到世界文化交流的背景。材料二则聚焦于花生、甘薯、玉米、烟草等美洲作物的引进，分析了它们进入中国的时间和路线。两则材料共同揭示了物种交流在中华文明发展中的关键作用，展现了农业传潘对文化、社会和经济的影响。文章结构清晰，内容丰富，既有历史深度，又有全球视野。</w:t>
      </w:r>
    </w:p>
    <w:p w14:paraId="729B17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 C</w:t>
      </w:r>
    </w:p>
    <w:p w14:paraId="1C0AE5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本题考查学生分析理解材料内容的能力。</w:t>
      </w:r>
    </w:p>
    <w:p w14:paraId="748A4E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C.“主要运用了实地考察与文献研究相结合的方法”表述错误。材料二在对花生等美洲作物引进中国的时间和路线研究中，主要是通过对不同地方志等文献资料的分析来推断，并未提及实地考察。</w:t>
      </w:r>
    </w:p>
    <w:p w14:paraId="313257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故选C。</w:t>
      </w:r>
    </w:p>
    <w:p w14:paraId="795998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 D</w:t>
      </w:r>
    </w:p>
    <w:p w14:paraId="1682E8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本题考查学生根据材料进行判断、推理的能力。</w:t>
      </w:r>
    </w:p>
    <w:p w14:paraId="670073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不同文明之间的交流融合，只会让彼此变得更加相似，最终趋向单一文化模式”错误，不同文明之间的交流融合并非只会让彼此变得更加相似并趋向单一文化模式，而是会相互影响、相互补充，使文化更加多元丰富。</w:t>
      </w:r>
    </w:p>
    <w:p w14:paraId="27EDDE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故选D。</w:t>
      </w:r>
    </w:p>
    <w:p w14:paraId="757002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3. C</w:t>
      </w:r>
    </w:p>
    <w:p w14:paraId="35877F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本题考查学生分析论点、论据、论证方法的能力。</w:t>
      </w:r>
    </w:p>
    <w:p w14:paraId="02D8B8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材料一观点强调稻米之路对早期中国文化格局形成、区域文明发展以及世界文化交流的重要性。</w:t>
      </w:r>
    </w:p>
    <w:p w14:paraId="3A11E7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A.仅体现日本饮食文化，未突出文化交流传播；</w:t>
      </w:r>
    </w:p>
    <w:p w14:paraId="068D5F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B.强调丝绸之路对商品和农作物品种交换传播，未聚焦稻米；</w:t>
      </w:r>
    </w:p>
    <w:p w14:paraId="6B43BF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C.东南亚岛屿出土与中国古代稻作农业相关农具且年代与当地新石器化进程相近，能有力支撑稻作农业传播与东南亚岛屿新石器化进程同步，以及稻作传播是南岛语族扩散标志性特征的观点。</w:t>
      </w:r>
    </w:p>
    <w:p w14:paraId="170094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D.说的是玉米传入中国，与材料一稻米相关观点不符。</w:t>
      </w:r>
    </w:p>
    <w:p w14:paraId="008A03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故选C。</w:t>
      </w:r>
    </w:p>
    <w:p w14:paraId="5D1420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4. ①文献直接证明，如在地方志等相关史料中找到相应记载；</w:t>
      </w:r>
    </w:p>
    <w:p w14:paraId="341EED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②逻辑分析推理，如葡萄牙或福建商船很可能最早引入美洲作物，结合当时的中外贸易情况、交通路线等因素，推断辣椒的引进路线和时间。</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16BB81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本题考查学生根据材料进行推断，归纳概括要点的能力。</w:t>
      </w:r>
    </w:p>
    <w:p w14:paraId="071314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①作者在研究花生、甘薯、玉米、烟草进入中国的时间和路线时，都十分注重从地方志等相关史料中寻找依据。例如，在研究花生时，参考了1539年江苏常熟县的地方志；研究甘薯时，依据了1594年福建巡抚的相关记录以及1563年云南的一部地方志；研究玉米时，以1555年河南的一部县志为重要线索；研究烟草时，参考了1611年福建的相关记录。所以，在确定辣椒进入中国的时间和路线时，作者也极有可能继续在各类地方志、历史文献等相关史料中进行査找，看是否有关于辣椒的记载，以此来直接证明辣椒进入中国的时间和路线。比如查找不同地区的地方志，看其中是否有关于辣椒种植、食用等方面的描述，并确定其记录的时间。通过这种方式，能较为直接地获取关于辣椒进入中国的时间信息。</w:t>
      </w:r>
    </w:p>
    <w:p w14:paraId="0562CE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在之前的研究中，作者根据葡萄牙或福建商船极可能是美洲作物最初的联络者这一推断，结合当时的中外贸易情况、交通路线等医素，对各种作物的引进路线和时间进行了合理推断。如在研究甘薯时，考虑到其引进的两个可能方向，结合当时的海陆交通路线和贸易往来情况，推测出甘薯可能通过海路进入福建，也可能从缅甸经陆路进入云南。在研究玉米时，由于发现最早记录玉米的河南县志远离可能的引进地区，从而根据新作物从引进到被地方志记录需要一定时间的规律，推断出玉米引进的时间。所以，对于辣椒进入中国的时间和路线，作者也会从当时的中外贸易情况出发，分析葡萄牙或其他国家与中国的贸易往来中是否涉及辣椒的交易；同时，结合当时的交通路线，判断浙辣椒可能的进入路径，比如是通过沿海港口进入，还是从内陆边境传入。还会考虑到辣椒在当时的传播速度和范围，以及不同地区对新作物的接受程度等因素，综合推断辣椒进入中国的时间和具体路线。</w:t>
      </w:r>
    </w:p>
    <w:p w14:paraId="44D222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5. ①中华文明起源早，水稻驯化可追溯至万年前。</w:t>
      </w:r>
    </w:p>
    <w:p w14:paraId="7C858D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②它对世界影响大，稻作传播推动多地发展。</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341804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③中华文明兼容并包，接纳花生、甘薯等美洲作物，融合外来文化，不断发展。</w:t>
      </w:r>
    </w:p>
    <w:p w14:paraId="218D58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本题考查学生学生分析运用信息，归纳概括要点的能力。</w:t>
      </w:r>
    </w:p>
    <w:p w14:paraId="791D3D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①材料一中提到“自万年前古人选择了河岸边的这株植物开始，从驯化到发展传播，从定居到文化融合，稻谷的旅程是早期文明起源的基础”，明确指出水稻的驯化早在万年前就已开始。水稻在长江中下游完成驯化后，逐渐传播到周边地区，在距今6000—5000年，中原、关中乃至甘肃东部地区就已陆续出现稻作遗存。这一系列的发展过程表明中华文明起源时间早，水稻的驯化与传播是中华文明早期发展的重要体现，所以演讲稿要点中提到“中华文明起源早，水稻驯化可追溯至万年前”是基于材料一对水稻驯化历史的阐述得出的。</w:t>
      </w:r>
    </w:p>
    <w:p w14:paraId="0E7625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材料一阐述了水稻在不同时期的传播及影响。距今4500年左右，稻作农业向古国之外的区域持续传播发展，使长江上游、东南沿海、岭南地区、云贵高原都逐步成为新兴的山地稻作农业区，奠定了早期中国的文化格局和地理版图。同时，向东北亚和中南半岛传播的水稻，促进了这些地区的社会复杂化和国家化进程，为地区民众奠定了共同的饮食文化传统。此外，稻作农业传播也是南岛语族起源和扩散的主要表现之一，是整合太平洋岛屿考古、语言学和遗传学研究的重要线索。这些内容充分说明稻作的传播对世界多地的发展起到了推动作用，体现了中华文明对世界的重要影响，因此演讲稿要点中有“它对世界影响大，稻作传播推动多地发展”这一点。</w:t>
      </w:r>
    </w:p>
    <w:p w14:paraId="27B28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材料二详细介绍了花生、甘薯、玉米、烟草等美洲作物引进中国的情况。花生可能是由葡萄牙人直接引进或福建商人从东南亚带来；甘薯从海路进入福建和从缅甸经陆路进入云南两个方向传入；玉米最星记录在河南的一部县志，其引进可能在十六世纪二三十年代；烟草从吕宋引进，在十六世纪五十年代可能已开始种植。这些美洲作物被中国接纳并逐渐融入中国人的生活，体现了中华文明具有兼容并包的特点，能够接纳外来的文化和物种，不断吸收新的元素来丰富和发展自身，所以演讲稿要点包含“中华文明兼容并包，接纳花生、甘薯等美洲作物，融合外来文化，不断发展”。</w:t>
      </w:r>
    </w:p>
    <w:p w14:paraId="0408B2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6. B   </w:t>
      </w:r>
    </w:p>
    <w:p w14:paraId="64A006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本题考查学生对文本相关内容和艺术特色的分析鉴赏的能力。</w:t>
      </w:r>
    </w:p>
    <w:p w14:paraId="4C30EC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B.“作者由此慨叹中医的博大与玄妙” 理解有错误。比较两个病例，体现了父亲身为医者强烈的事业心与责任感。</w:t>
      </w:r>
    </w:p>
    <w:p w14:paraId="38EDDF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故选B。</w:t>
      </w:r>
    </w:p>
    <w:p w14:paraId="3624D3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7. A   </w:t>
      </w:r>
    </w:p>
    <w:p w14:paraId="1BC98C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本题考查学生理解文本观点及分析文本内容的能力。</w:t>
      </w:r>
    </w:p>
    <w:p w14:paraId="6672B3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城中的戍军长官为了与民同乐，便派士兵把三十只绿头长颈大雄鸭放入河中，尽善于泅水的军民等下水赶鸭子”错，不能集中体现赵淑萍关于塑造人物“最到位”理论。其它三项中的晴雯、柳妈、林冲等人物基本符合赵淑萍老师关于人物塑造要具有典型性、生动性、争议性等特点。“成军长官”不具备这些特点。</w:t>
      </w:r>
    </w:p>
    <w:p w14:paraId="6AE3F5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故选A。</w:t>
      </w:r>
    </w:p>
    <w:p w14:paraId="6FEB71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8. ①小说第二段借对秋日梨花的描写交代了故事的缘起，为后文小女儿的出生做了铺垫。</w:t>
      </w:r>
    </w:p>
    <w:p w14:paraId="0C6527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②烘托人物情感，作者描写三十年前雨中含泪的梨花，将母亲的悲痛之情移情到梨花上，更好的渲染了人物的情感。</w:t>
      </w:r>
    </w:p>
    <w:p w14:paraId="6BAB39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③借梨花象征人物的高洁品格，结尾父亲的《误诊记》封面上洁白无暇的梨花恰如他不计个人得失的高洁品格。</w:t>
      </w:r>
    </w:p>
    <w:p w14:paraId="7EC74A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④以“秋天的梨花”为题，以封面上的梨花结尾，相互呼应，富有诗意且余韵悠长。</w:t>
      </w:r>
    </w:p>
    <w:p w14:paraId="12458A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本题考查学生鉴赏作品中重要物象作用的能力。</w:t>
      </w:r>
    </w:p>
    <w:p w14:paraId="7FB0D5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结合第二段中“母亲看到梨树上有几朵梨花开着，洁白无瑕的小花在绿叶间，如此清新，如此明媚。怎么秋天也会有梨花开呢……父亲说十月小阳春，天气和暖，所以有梨花开。就是那个假期，母亲怀上了她。此时母亲已年近五十，亲友们都建议她不要这个孩子了”，和第四段中“想起盛开在秋日黄昏的梨花和那个多难的春天，母亲有种预感，是不是三十年前的那个孩子又回来了，于是，不顾劝阻，母亲执意要生下这个孩子。也许是出于对第一个孩子的负疚，父亲有生以来第一次接生，他亲自把这个小女儿迎接到了这个世界上”分析，小说借对秋日梨花的描写交代了故事的缘起，为后文小女儿的出生做了铺垫。</w:t>
      </w:r>
    </w:p>
    <w:p w14:paraId="53E658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结合第三段“三十年前的春天。那时，日寇入侵，精通医术的父亲参加抗日救卫队去了。父亲在战场上救死扶伤，母亲则腆着个大肚子，在父亲的老家——一个小山村待产。母亲生下一个白白胖胖的女孩。可是，孩子出生不久就身体泛紫，嘴唇发乌，呼吸微弱，面色苍白。母亲首次生产，毫无经验。旁边人也不懂，不知道这是新生儿窒息，应该采取急救措施，还在一旁摇晃、安抚，就这样，孩子夭亡了。母亲记得，春天下了一场雨，屋外的梨花，一朵朵都含着泪。母亲的泪，也像雨一样，不住地流”分析，作者叙述三十年前，母亲的第一个孩子不幸天折，此时描写雨中含泪的梨花，是将人的情感移注到梨花上，即将母亲失子的悲痛之情移情到梨花上，更好地烘托人物的情感。</w:t>
      </w:r>
    </w:p>
    <w:p w14:paraId="736693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(3)结合“《误诊记》出版了。……封面上，夕阳中一枝梨花，洁白无瑕”分析，父亲去世后孩子们整理他的误诊的病例，遵照父亲嘱托出版《误诊记》，父亲作为医生，一辈子救死扶伤，临了还心系医疗事业，封面上的这枝洁白的梨花象征了父亲不计个人得失的高洁品格，表达了作者的赞美之情。</w:t>
      </w:r>
    </w:p>
    <w:p w14:paraId="296668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(4)这篇小说以"秋天的梨花”为题，以"封面上，夕阳中一枝梨花，洁白无瑕”结尾，结构上结尾和标题相呼应，且以封面上的梨花结尾富有诗意，余韵悠长。</w:t>
      </w:r>
    </w:p>
    <w:p w14:paraId="129E54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9. ①冯骥才先生指出了小说情节设置曲折(或突转)和细节描写(或描写细致)的重要性。</w:t>
      </w:r>
    </w:p>
    <w:p w14:paraId="4B1649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情节示例：父亲临终前嘱托小女儿出版他的误诊病例，这一情节设置曲折令人意外，却也合乎情理，与父亲高大的医者形象吻合，凸显他崇高的医德。(另有情节曲折处亦可承认，或答出运用插叙丰富了文章内容也可。)</w:t>
      </w:r>
      <w:r>
        <w:rPr>
          <w:rFonts w:hint="eastAsia" w:ascii="楷体" w:hAnsi="楷体" w:eastAsia="楷体" w:cs="楷体"/>
          <w:b w:val="0"/>
          <w:bCs w:val="0"/>
          <w:i w:val="0"/>
          <w:iCs w:val="0"/>
          <w:caps w:val="0"/>
          <w:color w:val="FFFFFF"/>
          <w:spacing w:val="8"/>
          <w:sz w:val="25"/>
          <w:szCs w:val="25"/>
          <w:bdr w:val="none" w:color="auto" w:sz="0" w:space="0"/>
          <w:shd w:val="clear" w:fill="FFFFFF"/>
        </w:rPr>
        <w:t> 超  然 客 公 众 号</w:t>
      </w:r>
    </w:p>
    <w:p w14:paraId="5AB976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细节示例：父亲病倒后嘴里说着“黄芪”“白术”等，生动地刻画出一个一生为中医药事业发展鞠躬尽瘁的医学工作者形象。父亲要求出版误诊病例的时候看着她，眼神明亮坚定，生动地刻画出一个不计个人名利得失，一心造福于人的医者形象。</w:t>
      </w:r>
    </w:p>
    <w:p w14:paraId="679D71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本题考查学生概括作者观点及分析鉴赏文本县体内容的能力，</w:t>
      </w:r>
    </w:p>
    <w:p w14:paraId="160CDD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首先筛选出文本二第一段中赵淑萍老师指出的小说创作的两个要素。关于小说的表达是，“一个人忽然被推到水里，那就是小说。那么我想，他怎么会被推到水里的呢？掉到水里面后，他的反应如何呢？别人又对他做了些什么呢？然后这个故事就可以展开，你如果把这些写的细致传神，那你就成功啦”，“他怎么会被推到水里的呢？掉到水里面后，他的反应如何呢？别人又对他做了些什么呢？”这体现的是小说故事情节的曲折性；“你如果把这些写的细致传神，那你就成功啦”，体现的是细节描写的重要性。</w:t>
      </w:r>
    </w:p>
    <w:p w14:paraId="7C0BC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关于情节的曲折性，文本一中最典型的是父亲临终前嘱咐小女儿出版他的误诊病例。前面一直在写作为小女儿，父亲母亲如何疼爱她，父亲如何亲自接生，如何救治身患疟疾的她，因而出版误诊病例这一情节有些出人意料。但是这个情节却符合父亲的人物形象，符合他的人品和医德。父亲一生都在为医学事业贡献力量，“日寇入侵，精通医术的父亲参加抗日救卫队去了。父亲在战场上救死扶伤”“后来，中华人民共和国建立了，父亲和他的同仁们一起创建了市中医院”“把她从死亡线上拉了回来。这让父亲在中医界的声誉达到了顶峰”“退休后父亲仍然被聘为中医院的顾问，每星期还去坐堂。为了中医院迁址重建，父亲多方呼吁，四处奔走”。因此这个情节的出现虽令人意外，却也合乎情理，与父亲高大的医者形象吻合，凸显他崇高的医德。</w:t>
      </w:r>
    </w:p>
    <w:p w14:paraId="2DEAA0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关于细节描写，文本一中有“他高热不退，嘴里又说着‘黄芪’‘白术’‘当归’等”，父亲病中高热时还在喊药名，这一细节生动的刻画出一个一生为中医药事业发展鞠躬尽瘁的医学工作者形象；还有“父亲看着她，父亲的眼神，如此明亮，如此坚定”，这是父亲临终前嘱咐处出版他的误诊病历，父亲说“孩子你知道吗，爸爸一生行医，救活人无数，但是，难免有疏漏误诊的时候……爸爸这些年，把自己误诊的病例都写下来，结集成册，希望你给我编辑出版”，作为一位在医学界声誉极高的老医学工作者，父亲能够反思自己，并敢于公开自己曾经的误诊病历，这是多么难能可贵。父亲眼神的细节描写生动的刻画出一个不计个人名利得失，一心造福于人的医者形象。</w:t>
      </w:r>
    </w:p>
    <w:p w14:paraId="34C016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两则材料皆围绕张方平展开。材料一述其少颖悟，举贤良，建议合枢密于中书，使契丹受礼遇，知开封府默记决遣，助立颍王为太子，告老仍论事切直，守蜀识拔苏氏父子，有气节。材料二苏轼赞其似孔融、诸葛亮，论事本礼义合人情，诗文清远雄丽，尽性知命，非以文字名世，苏轼受其知遇，校藏文集并叙其大略。</w:t>
      </w:r>
    </w:p>
    <w:p w14:paraId="0EE419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10. CEG  (每涂对一处给1分，涂黑超过三处不给分。)</w:t>
      </w:r>
    </w:p>
    <w:p w14:paraId="655044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]本题考查学生文言文断句的能力。</w:t>
      </w:r>
    </w:p>
    <w:p w14:paraId="6D1DC3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句意：张方平首先请求将枢密院的职责合并到中书省，来通治谋议，皇帝认为他说得对，于是让宰相兼任枢密使。</w:t>
      </w:r>
    </w:p>
    <w:p w14:paraId="5FB5C2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“方平”作主语，“首”作状语，“乞”作谓语，“枢密之职于中书”作宾语，结构完整，故C处断开；</w:t>
      </w:r>
    </w:p>
    <w:p w14:paraId="555AAC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“通”的宾语是“谋议”，故E处断开；</w:t>
      </w:r>
    </w:p>
    <w:p w14:paraId="5D866D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“帝”作主语，“然”作谓语，“之”作宾语，结构完整，后文表述结果，故G处断开。</w:t>
      </w:r>
    </w:p>
    <w:p w14:paraId="0AA52D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故选CEG。</w:t>
      </w:r>
    </w:p>
    <w:p w14:paraId="041CD3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11. D   </w:t>
      </w:r>
    </w:p>
    <w:p w14:paraId="69D107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]本题考查学生理解文言实词在文中的意义和用法、一词多义现象以及掌握常见古代文化常识的能力。</w:t>
      </w:r>
    </w:p>
    <w:p w14:paraId="45B075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A.正确。借/借助。句意：向别人借三史阅读。/借助车马的人，不是脚走得快。</w:t>
      </w:r>
    </w:p>
    <w:p w14:paraId="39741F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B.正确。</w:t>
      </w:r>
    </w:p>
    <w:p w14:paraId="36BC2B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C.正确。动词，作序。/名词，序文(一种文体)。句意：为他的文章作序。/《&lt;乐全先生文集&gt;序》。</w:t>
      </w:r>
    </w:p>
    <w:p w14:paraId="287B0D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D.“意思相同”错误。报效、报答。/功效、成效。句意：而我最终没有对先生有丝毫的报答。/如果没有成效，就治我的罪。</w:t>
      </w:r>
    </w:p>
    <w:p w14:paraId="5383F1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故选D。</w:t>
      </w:r>
    </w:p>
    <w:p w14:paraId="487EC9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12. C   </w:t>
      </w:r>
    </w:p>
    <w:p w14:paraId="0C486A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]本题考查学生理解文章内容的能力。</w:t>
      </w:r>
    </w:p>
    <w:p w14:paraId="262466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C.“方平坚决拒绝立颍王为太子”不正确。材料一</w:t>
      </w:r>
      <w:r>
        <w:rPr>
          <w:rFonts w:hint="eastAsia" w:ascii="宋体" w:hAnsi="宋体" w:eastAsia="宋体" w:cs="宋体"/>
          <w:b w:val="0"/>
          <w:bCs w:val="0"/>
          <w:i w:val="0"/>
          <w:iCs w:val="0"/>
          <w:caps w:val="0"/>
          <w:spacing w:val="8"/>
          <w:sz w:val="25"/>
          <w:szCs w:val="25"/>
          <w:bdr w:val="none" w:color="auto" w:sz="0" w:space="0"/>
          <w:shd w:val="clear" w:fill="FFFFFF"/>
        </w:rPr>
        <w:t>中方平抗声曰：“必颍王也，嫡长而贤，请书其名。”意为方平高声说：“一定立颍王为太子，既是嫡长子又贤明，请写下他的名字。”即坚决要求立颖王为太子。</w:t>
      </w:r>
    </w:p>
    <w:p w14:paraId="090C06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故选C。</w:t>
      </w:r>
    </w:p>
    <w:p w14:paraId="5788EB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13. （1）张方平性格豪爽有气节，退休之后，议论时事更加恳切，对于用兵、判案，尤其反复陈说。(“慷慨”“益”“反覆”各1分，句意通畅1分)</w:t>
      </w:r>
    </w:p>
    <w:p w14:paraId="33C73D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（2）然而从庆历以来直到元丰年间的四十余年，他和皇帝议论天下大事，体现在奏章中的就有很多。(“讫”人主”“见”各1分，句意通畅1分)</w:t>
      </w:r>
    </w:p>
    <w:p w14:paraId="38AE60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本题考查学生理解并翻译文言文句子的能力。</w:t>
      </w:r>
    </w:p>
    <w:p w14:paraId="4754EB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(1)“慷慨”，性格豪爽；“益”，更加；“起狱”，判案。</w:t>
      </w:r>
    </w:p>
    <w:p w14:paraId="7B93B3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(2)“讫”，直到；“所与人主论天下事”，“所”字结构，和皇帝议论天下大事的内容；“见”，体现。</w:t>
      </w:r>
    </w:p>
    <w:p w14:paraId="2B78ED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14. ①孔融其文有英俊豪迈之气，慨然有烈丈夫之风；诸葛亮通晓万物成就大事的气势、广泛考查名实的作风，形之于言，其《出师表》尤其伟大。 </w:t>
      </w:r>
    </w:p>
    <w:p w14:paraId="69FE21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②张方平的文章跟他们相近：其章疏本于礼义，合于人情；其他诗文清远雄丽，确实与孔融、诸葛亮相似。(答出一点3分，两点给5分；意思对即可)。</w:t>
      </w:r>
    </w:p>
    <w:p w14:paraId="6A80F6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本题考查学生分析文章信息、归纳内容要点的能力。</w:t>
      </w:r>
    </w:p>
    <w:p w14:paraId="4C7667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①由材料二“孔北海志大而论高.…慨然有烈丈夫之风”“诸葛孔明不以文章自名……直而不肆”可知，孔融有英伟豪杰之气，文章具烈丈夫之风；诸葛亮文能体现通晓万物、考查名实的作风，《出师表》简洁周全、直率适度，非趋奉君主者所能及。</w:t>
      </w:r>
    </w:p>
    <w:p w14:paraId="685E99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由材料二“所与人主论天下事……其他诗文清远雄丽”可知，张方平的章疏贴合礼义人情，诗文风格清远雄丽；再结合材料一“方平慷慨有气节……又抗章为请”，其气节与孔、诸葛一致，故苏轼将他比作孔融、诸葛亮。</w:t>
      </w:r>
    </w:p>
    <w:p w14:paraId="226929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文言文参考译文</w:t>
      </w:r>
      <w:r>
        <w:rPr>
          <w:rFonts w:hint="default" w:ascii="Times New Roman" w:hAnsi="Times New Roman" w:cs="Times New Roman"/>
          <w:b w:val="0"/>
          <w:bCs w:val="0"/>
          <w:i w:val="0"/>
          <w:iCs w:val="0"/>
          <w:caps w:val="0"/>
          <w:spacing w:val="8"/>
          <w:sz w:val="25"/>
          <w:szCs w:val="25"/>
          <w:bdr w:val="none" w:color="auto" w:sz="0" w:space="0"/>
          <w:shd w:val="clear" w:fill="FFFFFF"/>
        </w:rPr>
        <w:t>]</w:t>
      </w:r>
    </w:p>
    <w:p w14:paraId="2C7BC9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材料一：</w:t>
      </w:r>
    </w:p>
    <w:p w14:paraId="01FE29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张方平，字安道，号乐全居士。他从小就聪慧过人，家中贫穷没有书可读，他向别人借来《史记》《汉书》《后汉书》，十天就归还了，说:“我已经了解其中详细的内容了。”所有的书他都只读一逼不再重读，宋绶、蔡齐认为他是天下奇才。他被推举为茂材异等，担任校书郞、昆山县知县。又考中贤良方正科，被选拔升任著作佐郞。西夏侵犯边境，张方平首先请求把枢密院的职责合并到中书省，以便共同商议谋划，皇帝认为这个建议正确，于是让他任宰相兼任枢密使。不久，张方平以修起居注的身份出使契丹。契丹王看着身边的人说：“有这样的臣子，真好啊!”(契丹君主)骑马在前打球，拿玉制的酒杯斟酒给他喝，并将自己所骑的马送给张方平。张方平回来后，担任知制诰，代理开封知府。府中事务繁杂，前任知府一般用书板记录，唯独张方平默默地记住并裁决发落，没有一点差错和遗忘。后晋升为翰林学士。英宗即位，张方平升任礼部尚书，请求出任郅州知州。回京后，担任学士承旨。皇帝身体不适，召张方平到福宁殿，皇帝靠着几案说话，话听不清楚。张方平说上笔请求皇帝写下来，皇帝于是写道:“明日降诏，册立皇太子。”张方平高声说道:“一定立颍王为太子，他既是嫡长子又贤明，请写下他的名字。”英宗勉强支撑着身体写下了，张方平才退下起草诏书。张方平为人豪爽有气节，告老还乡后，议论事情更加恳切，对于用兵、制造冤狱等事，尤其反复论说。并且说:“我快死了，到地下见先帝，也有话可说了。"他平时从不以言语讨好别人，不拿脸色给人看。在蜀地任职时，他发现了眉山的苏洵和他的两个儿子苏轼、苏辙，非常器重并认为他们与众不同。他曾经推荐苏轼做谏官。苏轼因受诏命关押在御史台狱中，他又上奏章为苏轼求情，所以苏轼终身都恭敬地侍奉他，为他的文章作序，把他比作孔融、诸葛亮。</w:t>
      </w:r>
    </w:p>
    <w:p w14:paraId="731637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黑体" w:hAnsi="宋体" w:eastAsia="黑体" w:cs="黑体"/>
          <w:b w:val="0"/>
          <w:bCs w:val="0"/>
          <w:i w:val="0"/>
          <w:iCs w:val="0"/>
          <w:caps w:val="0"/>
          <w:spacing w:val="8"/>
          <w:sz w:val="25"/>
          <w:szCs w:val="25"/>
          <w:bdr w:val="none" w:color="auto" w:sz="0" w:space="0"/>
          <w:shd w:val="clear" w:fill="FFFFFF"/>
        </w:rPr>
        <w:t>材料二：</w:t>
      </w:r>
    </w:p>
    <w:p w14:paraId="70D677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孔融志向宏大而立论高远，功业在后世不见流传，然而他英俊豪迈的气度，自然而然地被当时的人们崇尚效仿。他所写的论盛孝章、郗鸿豫的书信，情绪激昂，有大丈夫的风范。诸葛孔明不凭借文章立名，然而他通晓万物之理并按这道理行事而成就大事的气势，广泛研习一个人的名望与实际是否相符的作风。都从他的言语之中表现出来了。至于《出师表》，语言简明而表意详尽，直率而不放纵，是真正伟大的言论。我常常遗憾这两个人的文章，不能看到全部。现在，我的先生张安道跟他们也差不多吧。</w:t>
      </w:r>
    </w:p>
    <w:p w14:paraId="34A3AC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张公充分发挥本性，了解天命，效法自然，凡事到不得已时才去做，并不是想凭借文章闻名于世。然而从庆历以来直到元丰年间的四十余年，他和皇帝议论天下大事，体现在奏章中的就有很多。有时候被采纳，有时候不被采纳，但他的议论都是从礼义出发，合乎人情。他的其他诗文，都清远雄丽，读文章的人能够从中想象到他的为人。他的确与孔融、诸葛亮有相似之处啊。</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455AF4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我二十岁的那年，凭借弟子的身份在成都见到张公，张公一看见我，就把我当成国中才俊对待。到现在已经三十多年了，先生为启发我、培养我所付出的一切太多了，然而我始终没有对张公有一点点报效，唯有找到他的文集，亲自抄写，在家中珍藏，并且作此序概括先生所著的大致情况，来等待后世的君子。　　</w:t>
      </w:r>
    </w:p>
    <w:p w14:paraId="2C1976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15. D </w:t>
      </w:r>
    </w:p>
    <w:p w14:paraId="56156D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w:t>
      </w:r>
      <w:r>
        <w:rPr>
          <w:rFonts w:hint="eastAsia" w:ascii="黑体" w:hAnsi="宋体" w:eastAsia="黑体" w:cs="黑体"/>
          <w:b w:val="0"/>
          <w:bCs w:val="0"/>
          <w:i w:val="0"/>
          <w:iCs w:val="0"/>
          <w:caps w:val="0"/>
          <w:color w:val="000000"/>
          <w:spacing w:val="8"/>
          <w:sz w:val="25"/>
          <w:szCs w:val="25"/>
          <w:bdr w:val="none" w:color="auto" w:sz="0" w:space="0"/>
          <w:shd w:val="clear" w:fill="FFFFFF"/>
        </w:rPr>
        <w:t>解析</w:t>
      </w:r>
      <w:r>
        <w:rPr>
          <w:rFonts w:hint="default" w:ascii="Times New Roman" w:hAnsi="Times New Roman" w:cs="Times New Roman"/>
          <w:b w:val="0"/>
          <w:bCs w:val="0"/>
          <w:i w:val="0"/>
          <w:iCs w:val="0"/>
          <w:caps w:val="0"/>
          <w:color w:val="000000"/>
          <w:spacing w:val="8"/>
          <w:sz w:val="25"/>
          <w:szCs w:val="25"/>
          <w:bdr w:val="none" w:color="auto" w:sz="0" w:space="0"/>
          <w:shd w:val="clear" w:fill="FFFFFF"/>
        </w:rPr>
        <w:t>] 本题考查学生对诗词综合赏析能力。此类题综合考查诗词的形象、语言、表达技巧和思想情感等，每个选项一个考点，几乎涵盖诗词的所有内容，注意结合全诗进行分析，主要的错误是意象的含义不对，手法不准确，手法的解说和艺术效果的分析不对，语言方面主要是风格不正确，内容一般为曲解诗词意思，答题时注意仔细辨析。</w:t>
      </w:r>
    </w:p>
    <w:p w14:paraId="6630EA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D.“比喻的修辞手法”错误，应为拟人的修辞手法。</w:t>
      </w:r>
    </w:p>
    <w:p w14:paraId="12223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16. ①借景抒情。“寒至骨”，即指大自然的严冬，也暗喻各种残酷的现实，“桃李用年华”，既写出寒冬过后桃李竞相开放的灿烂春景，又表达了作者的一种积极进取的心态。②卒章显志。一个“用”字，颇富深意，表明诗人要把自己的桃李年华，奉献给事业，不论是顺境，还是逆境，是冷遇，还是热望，诗人都要用自己的青春年华对社会尽职尽责。③尾联既是慰友励友，也是自慰自勉，格调高昂明快，给人以豪放、进取的启迪。</w:t>
      </w:r>
    </w:p>
    <w:p w14:paraId="4C8612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color w:val="000000"/>
          <w:spacing w:val="8"/>
          <w:sz w:val="25"/>
          <w:szCs w:val="25"/>
          <w:bdr w:val="none" w:color="auto" w:sz="0" w:space="0"/>
          <w:shd w:val="clear" w:fill="FFFFFF"/>
        </w:rPr>
        <w:t>[</w:t>
      </w:r>
      <w:r>
        <w:rPr>
          <w:rFonts w:hint="eastAsia" w:ascii="黑体" w:hAnsi="宋体" w:eastAsia="黑体" w:cs="黑体"/>
          <w:b w:val="0"/>
          <w:bCs w:val="0"/>
          <w:i w:val="0"/>
          <w:iCs w:val="0"/>
          <w:caps w:val="0"/>
          <w:color w:val="000000"/>
          <w:spacing w:val="8"/>
          <w:sz w:val="25"/>
          <w:szCs w:val="25"/>
          <w:bdr w:val="none" w:color="auto" w:sz="0" w:space="0"/>
          <w:shd w:val="clear" w:fill="FFFFFF"/>
        </w:rPr>
        <w:t>解析</w:t>
      </w:r>
      <w:r>
        <w:rPr>
          <w:rFonts w:hint="default" w:ascii="Times New Roman" w:hAnsi="Times New Roman" w:cs="Times New Roman"/>
          <w:b w:val="0"/>
          <w:bCs w:val="0"/>
          <w:i w:val="0"/>
          <w:iCs w:val="0"/>
          <w:caps w:val="0"/>
          <w:color w:val="000000"/>
          <w:spacing w:val="8"/>
          <w:sz w:val="25"/>
          <w:szCs w:val="25"/>
          <w:bdr w:val="none" w:color="auto" w:sz="0" w:space="0"/>
          <w:shd w:val="clear" w:fill="FFFFFF"/>
        </w:rPr>
        <w:t>] 本题考查学生赏析诗句，分析其表达效果的能力。先答出诗句使用了怎样的手法，再结合诗句分析为何是这样的手法，最后分析表达效果和传达的感情。</w:t>
      </w:r>
    </w:p>
    <w:p w14:paraId="734297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color w:val="000000"/>
          <w:spacing w:val="8"/>
          <w:sz w:val="25"/>
          <w:szCs w:val="25"/>
          <w:bdr w:val="none" w:color="auto" w:sz="0" w:space="0"/>
          <w:shd w:val="clear" w:fill="FFFFFF"/>
        </w:rPr>
        <w:t>尾联“政使尽情寒至骨，不妨桃李用年华”意思是“眼下，纵然春寒料峭，寒冷寂寞，但不妨碍日后和风送暖，桃李盛开”。这是景语，亦是情语，情景融浑无迹。</w:t>
      </w:r>
    </w:p>
    <w:p w14:paraId="3F3C19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color w:val="000000"/>
          <w:spacing w:val="8"/>
          <w:sz w:val="25"/>
          <w:szCs w:val="25"/>
          <w:bdr w:val="none" w:color="auto" w:sz="0" w:space="0"/>
          <w:shd w:val="clear" w:fill="FFFFFF"/>
        </w:rPr>
        <w:t>写景：“寒至骨”既是从感觉上写自然气候，也是从身世上写作者寒索俭淡的生活现实。“不妨桃李用年华”春雪虽带严寒，但不妨碍日后和风送暖，桃李盛开。</w:t>
      </w:r>
    </w:p>
    <w:p w14:paraId="7091A8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color w:val="000000"/>
          <w:spacing w:val="8"/>
          <w:sz w:val="25"/>
          <w:szCs w:val="25"/>
          <w:bdr w:val="none" w:color="auto" w:sz="0" w:space="0"/>
          <w:shd w:val="clear" w:fill="FFFFFF"/>
        </w:rPr>
        <w:t>情感：诗人要把自己的桃李年华，奉献给事业，不论是顺境，还是逆境，是冷遇，还是热望，诗人都要用自己的青春年华对社会尽职尽责。</w:t>
      </w:r>
    </w:p>
    <w:p w14:paraId="15B3BA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color w:val="000000"/>
          <w:spacing w:val="8"/>
          <w:sz w:val="25"/>
          <w:szCs w:val="25"/>
          <w:bdr w:val="none" w:color="auto" w:sz="0" w:space="0"/>
          <w:shd w:val="clear" w:fill="FFFFFF"/>
        </w:rPr>
        <w:t>结构：“不妨桃李用年华”是全诗的高潮，卒章显志。</w:t>
      </w:r>
    </w:p>
    <w:p w14:paraId="332783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如何鉴赏诗歌</w:t>
      </w:r>
      <w:r>
        <w:rPr>
          <w:rFonts w:hint="default" w:ascii="Times New Roman" w:hAnsi="Times New Roman" w:cs="Times New Roman"/>
          <w:b w:val="0"/>
          <w:bCs w:val="0"/>
          <w:i w:val="0"/>
          <w:iCs w:val="0"/>
          <w:caps w:val="0"/>
          <w:spacing w:val="8"/>
          <w:sz w:val="25"/>
          <w:szCs w:val="25"/>
          <w:bdr w:val="none" w:color="auto" w:sz="0" w:space="0"/>
          <w:shd w:val="clear" w:fill="FFFFFF"/>
        </w:rPr>
        <w:t>]</w:t>
      </w:r>
    </w:p>
    <w:p w14:paraId="6F726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（一）关注标题，明确内容和情感</w:t>
      </w:r>
    </w:p>
    <w:p w14:paraId="485523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标题是解读诗歌内容和形式的关键。因为诗歌的标题一般交代时间、地点、人物、情感倾向等，可以揭示思想内容，可以让人明了是哪一类诗歌，进而明了全诗的结构及表现手法等，便于快速理解诗歌。</w:t>
      </w:r>
    </w:p>
    <w:p w14:paraId="67B3D7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（二）关注作者，知人论世多关联</w:t>
      </w:r>
    </w:p>
    <w:p w14:paraId="11C1C8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读诗讲究“知人论世”，所以，一定要重视诗歌的作者。要尽量了解作者的身世、所处的时代特点，及创作倾向、主要内容、作品风格特点等。</w:t>
      </w:r>
    </w:p>
    <w:p w14:paraId="537121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（三）关注注释隐含意</w:t>
      </w:r>
    </w:p>
    <w:p w14:paraId="151782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高考所选诗歌大多附有注释。注释或解释疑难词语、地名，帮助考生读懂诗句；或介绍写作背景，暗示诗歌的思想主题；或介绍相关诗句，帮助考生理解诗歌用典或意境；或介绍作者，暗示诗歌的思想情感或写作风格。</w:t>
      </w:r>
    </w:p>
    <w:p w14:paraId="77052F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（四）关注意象寄托意</w:t>
      </w:r>
    </w:p>
    <w:p w14:paraId="577766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意象是诗人思想感情的寄托，古人写诗喜欢用一些意象传达大致相同的思想感情。</w:t>
      </w:r>
    </w:p>
    <w:p w14:paraId="2C4933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（五）关注关键词句情感意</w:t>
      </w:r>
    </w:p>
    <w:p w14:paraId="6981B7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关键词主要是名词、动词、形容词，它们通常体现诗人思想情感或暗示主旨。情感往往体现在只言片语上，要善于把握这样的词句，借此领悟情感。</w:t>
      </w:r>
    </w:p>
    <w:p w14:paraId="371DA8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17.（1）天生我材必有用   千金散尽还复来</w:t>
      </w:r>
    </w:p>
    <w:p w14:paraId="7F7D53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（2）善万物之得时   感吾生之行休</w:t>
      </w:r>
    </w:p>
    <w:p w14:paraId="52817B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（3）示例一：素月分辉   明河共影</w:t>
      </w:r>
    </w:p>
    <w:p w14:paraId="40683F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示例二：但愿人长久   千里共婵娟</w:t>
      </w:r>
    </w:p>
    <w:p w14:paraId="070F2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示例三：明月松间照   清泉石上流</w:t>
      </w:r>
    </w:p>
    <w:p w14:paraId="11265C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示例四：举杯邀明月   对影成三人</w:t>
      </w:r>
    </w:p>
    <w:p w14:paraId="596199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(每空1分，有错字、添字、字均不得分)</w:t>
      </w:r>
    </w:p>
    <w:p w14:paraId="76108A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18. ④改为：就没必要将(把)蔷薇与宝相相提并论</w:t>
      </w:r>
    </w:p>
    <w:p w14:paraId="6209A3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⑥改为：我们可以概括出这种植物的几大特征</w:t>
      </w:r>
    </w:p>
    <w:p w14:paraId="2C61D6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(每处2分，指出、改正各1分)</w:t>
      </w:r>
    </w:p>
    <w:p w14:paraId="0A37CC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本题考查学生辨析并修改病句的能力。</w:t>
      </w:r>
    </w:p>
    <w:p w14:paraId="70B7F8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序号④：原句缺少介词，添加“将(把)”，使“蔷薇与宝相”成为“相提并论”的对象，修改为“就没必要将(把)蔷薇与宝相相提并论。</w:t>
      </w:r>
    </w:p>
    <w:p w14:paraId="0BE216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序号⑥：原句语序不当，将“几大”与“这种植物的”调换位置，让“几大”修饰“特征””，修改为“我们可以概括出这种植物的几大特征”。</w:t>
      </w:r>
    </w:p>
    <w:p w14:paraId="031A8B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19. B   [</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本题考查学生语句复位的能力。</w:t>
      </w:r>
    </w:p>
    <w:p w14:paraId="0F16C0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从语意逻辑看，应先说“真容”，再进行解释，排除CD；</w:t>
      </w:r>
    </w:p>
    <w:p w14:paraId="5ACD93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从下文看，应以“木香花”结尾，排除A。</w:t>
      </w:r>
    </w:p>
    <w:p w14:paraId="58DC9B2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故选B。</w:t>
      </w:r>
    </w:p>
    <w:p w14:paraId="78D578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20. D   [</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本题考查学生正确使用成语的能力。</w:t>
      </w:r>
    </w:p>
    <w:p w14:paraId="2DE5C5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“不足为奇”“不足为怪”“不足为异”均表示事情平常、不奇怪，符合“曹雪芹写进《红楼梦》很自然”的语境；“不足为意”指不值得放在心上，与语境无关，故不恰当。故选D。</w:t>
      </w:r>
    </w:p>
    <w:p w14:paraId="27E3B2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21. 示例：木香花，又称宝相，俗名“木蔷花”，蔷薇科蔷薇属，高可达五六米，枝条柔韧带刺，具有攀缘性，四五月开花，花分为单瓣和重瓣两种，花色鲜艳而丰富，气味芬芳，小叶常为3~5片，罕见7片。(4分：名、枝、花、叶各1分)</w:t>
      </w:r>
    </w:p>
    <w:p w14:paraId="1C0BD7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本题考查学生概括要点的能力。</w:t>
      </w:r>
    </w:p>
    <w:p w14:paraId="570CF0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写花卉词条需包含核心信息：名称、分类、形态特征、生长习性、用途等要素。</w:t>
      </w:r>
    </w:p>
    <w:p w14:paraId="3C4350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先明确别名(宝相、木蔷花)、科属(蔷薇科蔷薇属)；</w:t>
      </w:r>
    </w:p>
    <w:p w14:paraId="2A7FA9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提取材料中“枝条柔韧带刺、攀缘性、高五六米、小叶3~5片”等信息；</w:t>
      </w:r>
    </w:p>
    <w:p w14:paraId="33E49F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补充“四五月开花、单/重瓣、色艳香浓”；</w:t>
      </w:r>
    </w:p>
    <w:p w14:paraId="49E637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精简整合，确保语言简明。</w:t>
      </w:r>
    </w:p>
    <w:p w14:paraId="344E6B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22. </w:t>
      </w:r>
      <w:r>
        <w:rPr>
          <w:rFonts w:hint="eastAsia" w:ascii="宋体" w:hAnsi="宋体" w:eastAsia="宋体" w:cs="宋体"/>
          <w:b/>
          <w:bCs/>
          <w:i w:val="0"/>
          <w:iCs w:val="0"/>
          <w:caps w:val="0"/>
          <w:spacing w:val="8"/>
          <w:sz w:val="25"/>
          <w:szCs w:val="25"/>
          <w:bdr w:val="none" w:color="auto" w:sz="0" w:space="0"/>
          <w:shd w:val="clear" w:fill="FFFFFF"/>
        </w:rPr>
        <w:t>示例一</w:t>
      </w:r>
      <w:r>
        <w:rPr>
          <w:rFonts w:hint="eastAsia" w:ascii="宋体" w:hAnsi="宋体" w:eastAsia="宋体" w:cs="宋体"/>
          <w:b w:val="0"/>
          <w:bCs w:val="0"/>
          <w:i w:val="0"/>
          <w:iCs w:val="0"/>
          <w:caps w:val="0"/>
          <w:spacing w:val="8"/>
          <w:sz w:val="25"/>
          <w:szCs w:val="25"/>
          <w:bdr w:val="none" w:color="auto" w:sz="0" w:space="0"/>
          <w:shd w:val="clear" w:fill="FFFFFF"/>
        </w:rPr>
        <w:t>：①宝相就是蔷薇花吗？</w:t>
      </w:r>
    </w:p>
    <w:p w14:paraId="0DF040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②宝相究竟是一种什么花呢？</w:t>
      </w:r>
    </w:p>
    <w:p w14:paraId="21C0A8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③木香花和蔷薇花有什么区别？</w:t>
      </w:r>
    </w:p>
    <w:p w14:paraId="2018AD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④曹雪芹为什么将木香花写进《红楼梦》里？</w:t>
      </w:r>
    </w:p>
    <w:p w14:paraId="6F6E38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bCs/>
          <w:i w:val="0"/>
          <w:iCs w:val="0"/>
          <w:caps w:val="0"/>
          <w:spacing w:val="8"/>
          <w:sz w:val="25"/>
          <w:szCs w:val="25"/>
          <w:bdr w:val="none" w:color="auto" w:sz="0" w:space="0"/>
          <w:shd w:val="clear" w:fill="FFFFFF"/>
        </w:rPr>
        <w:t>示例二</w:t>
      </w:r>
      <w:r>
        <w:rPr>
          <w:rFonts w:hint="eastAsia" w:ascii="宋体" w:hAnsi="宋体" w:eastAsia="宋体" w:cs="宋体"/>
          <w:b w:val="0"/>
          <w:bCs w:val="0"/>
          <w:i w:val="0"/>
          <w:iCs w:val="0"/>
          <w:caps w:val="0"/>
          <w:spacing w:val="8"/>
          <w:sz w:val="25"/>
          <w:szCs w:val="25"/>
          <w:bdr w:val="none" w:color="auto" w:sz="0" w:space="0"/>
          <w:shd w:val="clear" w:fill="FFFFFF"/>
        </w:rPr>
        <w:t>：①《红楼梦》里的“宝相”是什么花？</w:t>
      </w:r>
    </w:p>
    <w:p w14:paraId="74C1D7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②宝相与蔷薇是同一种花吗？</w:t>
      </w:r>
    </w:p>
    <w:p w14:paraId="084F21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③如何区分木香花与蔷薇花？</w:t>
      </w:r>
    </w:p>
    <w:p w14:paraId="7A6585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④木香花为何会出现在《红楼梦》里？</w:t>
      </w:r>
    </w:p>
    <w:p w14:paraId="0A03B6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（每点1分，意思对即可：如有其他答案，只要言之成理可酌情给分。）</w:t>
      </w:r>
    </w:p>
    <w:p w14:paraId="09B2E5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解析</w:t>
      </w:r>
      <w:r>
        <w:rPr>
          <w:rFonts w:hint="default" w:ascii="Times New Roman" w:hAnsi="Times New Roman" w:cs="Times New Roman"/>
          <w:b w:val="0"/>
          <w:bCs w:val="0"/>
          <w:i w:val="0"/>
          <w:iCs w:val="0"/>
          <w:caps w:val="0"/>
          <w:spacing w:val="8"/>
          <w:sz w:val="25"/>
          <w:szCs w:val="25"/>
          <w:bdr w:val="none" w:color="auto" w:sz="0" w:space="0"/>
          <w:shd w:val="clear" w:fill="FFFFFF"/>
        </w:rPr>
        <w:t>] 本题考查学生概括要点的能力。</w:t>
      </w:r>
    </w:p>
    <w:p w14:paraId="3B7298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第一个问句(宝相就是蔷薇花吗？)：对应文本开篇对“宝相是否是蔷薇”的争议，是探究的起点；</w:t>
      </w:r>
    </w:p>
    <w:p w14:paraId="483BD7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第二个问句(宝相究竟是一种什么花呢？)：承接前一疑问，转向对宝相物种的核心探究，是思路的推进；</w:t>
      </w:r>
    </w:p>
    <w:p w14:paraId="1E2DC2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第三个问句(木香花和蔷薇花有什么区别？)：在确定宝相是木香花后，文本进一步区分其与蔷薇的差异，此问句对应这一辨析环节；</w:t>
      </w:r>
    </w:p>
    <w:p w14:paraId="50E841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第四个问句(曹雪芹为什么将木香花写进《红楼梦》里？)：收尾时关联《红楼梦》的写作，回应文本最后对“曹雪芹写木香花”的解释，是思路的收束。</w:t>
      </w:r>
    </w:p>
    <w:p w14:paraId="431DB3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23. </w:t>
      </w:r>
      <w:r>
        <w:rPr>
          <w:rFonts w:hint="eastAsia" w:ascii="宋体" w:hAnsi="宋体" w:eastAsia="宋体" w:cs="宋体"/>
          <w:b w:val="0"/>
          <w:bCs w:val="0"/>
          <w:i w:val="0"/>
          <w:iCs w:val="0"/>
          <w:caps w:val="0"/>
          <w:spacing w:val="8"/>
          <w:sz w:val="25"/>
          <w:szCs w:val="25"/>
          <w:bdr w:val="none" w:color="auto" w:sz="0" w:space="0"/>
          <w:shd w:val="clear" w:fill="FFFFFF"/>
        </w:rPr>
        <w:t>阅读下面的材料，根据要求写作。</w:t>
      </w:r>
      <w:r>
        <w:rPr>
          <w:rFonts w:hint="default" w:ascii="Times New Roman" w:hAnsi="Times New Roman" w:cs="Times New Roman"/>
          <w:b w:val="0"/>
          <w:bCs w:val="0"/>
          <w:i w:val="0"/>
          <w:iCs w:val="0"/>
          <w:caps w:val="0"/>
          <w:spacing w:val="8"/>
          <w:sz w:val="25"/>
          <w:szCs w:val="25"/>
          <w:bdr w:val="none" w:color="auto" w:sz="0" w:space="0"/>
          <w:shd w:val="clear" w:fill="FFFFFF"/>
        </w:rPr>
        <w:t>(60 分)</w:t>
      </w:r>
    </w:p>
    <w:p w14:paraId="4509FC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写作评分细则</w:t>
      </w:r>
      <w:r>
        <w:rPr>
          <w:rFonts w:hint="default" w:ascii="Times New Roman" w:hAnsi="Times New Roman" w:cs="Times New Roman"/>
          <w:b w:val="0"/>
          <w:bCs w:val="0"/>
          <w:i w:val="0"/>
          <w:iCs w:val="0"/>
          <w:caps w:val="0"/>
          <w:spacing w:val="8"/>
          <w:sz w:val="25"/>
          <w:szCs w:val="25"/>
          <w:bdr w:val="none" w:color="auto" w:sz="0" w:space="0"/>
          <w:shd w:val="clear" w:fill="FFFFFF"/>
        </w:rPr>
        <w:t>]</w:t>
      </w:r>
    </w:p>
    <w:tbl>
      <w:tblP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08"/>
        <w:gridCol w:w="756"/>
        <w:gridCol w:w="2212"/>
        <w:gridCol w:w="2174"/>
        <w:gridCol w:w="2117"/>
        <w:gridCol w:w="2288"/>
      </w:tblGrid>
      <w:tr w14:paraId="374C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005" w:type="dxa"/>
            <w:gridSpan w:val="2"/>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0B728E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default" w:ascii="Times New Roman" w:hAnsi="Times New Roman" w:eastAsia="Microsoft YaHei UI" w:cs="Times New Roman"/>
                <w:b w:val="0"/>
                <w:bCs w:val="0"/>
                <w:i w:val="0"/>
                <w:iCs w:val="0"/>
                <w:caps w:val="0"/>
                <w:spacing w:val="8"/>
                <w:sz w:val="25"/>
                <w:szCs w:val="25"/>
                <w:bdr w:val="none" w:color="auto" w:sz="0" w:space="0"/>
              </w:rPr>
              <w:t> </w:t>
            </w:r>
          </w:p>
        </w:tc>
        <w:tc>
          <w:tcPr>
            <w:tcW w:w="17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40136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一等(20—16 分)</w:t>
            </w:r>
          </w:p>
        </w:tc>
        <w:tc>
          <w:tcPr>
            <w:tcW w:w="172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51E00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二等(15—11 分)</w:t>
            </w:r>
          </w:p>
        </w:tc>
        <w:tc>
          <w:tcPr>
            <w:tcW w:w="168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4FBF4F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三等(10—6分)</w:t>
            </w:r>
          </w:p>
        </w:tc>
        <w:tc>
          <w:tcPr>
            <w:tcW w:w="181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E8D8B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四等(5—0分)</w:t>
            </w:r>
          </w:p>
        </w:tc>
      </w:tr>
      <w:tr w14:paraId="37C10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05" w:type="dxa"/>
            <w:vMerge w:val="restart"/>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4065B6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基础等级</w:t>
            </w:r>
          </w:p>
        </w:tc>
        <w:tc>
          <w:tcPr>
            <w:tcW w:w="60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4F448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内容20分</w:t>
            </w:r>
          </w:p>
        </w:tc>
        <w:tc>
          <w:tcPr>
            <w:tcW w:w="17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39ED0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符合题意</w:t>
            </w:r>
          </w:p>
          <w:p w14:paraId="3F0BB0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中心突出</w:t>
            </w:r>
          </w:p>
          <w:p w14:paraId="026E5D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内容充实</w:t>
            </w:r>
          </w:p>
          <w:p w14:paraId="090156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思想健康</w:t>
            </w:r>
          </w:p>
          <w:p w14:paraId="72FB60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感情真挚</w:t>
            </w:r>
          </w:p>
        </w:tc>
        <w:tc>
          <w:tcPr>
            <w:tcW w:w="172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FB80A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符合题意</w:t>
            </w:r>
          </w:p>
          <w:p w14:paraId="39BFE4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中心突出</w:t>
            </w:r>
          </w:p>
          <w:p w14:paraId="1BA9F8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内容较充实</w:t>
            </w:r>
          </w:p>
          <w:p w14:paraId="2C41D3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思想健康</w:t>
            </w:r>
          </w:p>
          <w:p w14:paraId="0E45B9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感情真挚</w:t>
            </w:r>
          </w:p>
        </w:tc>
        <w:tc>
          <w:tcPr>
            <w:tcW w:w="168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FE503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基本符合题意</w:t>
            </w:r>
          </w:p>
          <w:p w14:paraId="2F8D99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中心基本突出</w:t>
            </w:r>
          </w:p>
          <w:p w14:paraId="20536E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内容单薄</w:t>
            </w:r>
          </w:p>
          <w:p w14:paraId="5165D0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思想基本健康</w:t>
            </w:r>
          </w:p>
          <w:p w14:paraId="1239ED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感情基本真挚</w:t>
            </w:r>
          </w:p>
        </w:tc>
        <w:tc>
          <w:tcPr>
            <w:tcW w:w="181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D64A0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偏离题意</w:t>
            </w:r>
          </w:p>
          <w:p w14:paraId="57451B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中心不明确</w:t>
            </w:r>
          </w:p>
          <w:p w14:paraId="1FD4B3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内容不当</w:t>
            </w:r>
          </w:p>
          <w:p w14:paraId="5F3696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思想不健康</w:t>
            </w:r>
          </w:p>
          <w:p w14:paraId="0133EC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感情虚假</w:t>
            </w:r>
          </w:p>
        </w:tc>
      </w:tr>
      <w:tr w14:paraId="18ECD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05" w:type="dxa"/>
            <w:vMerge w:val="continue"/>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A173CFD">
            <w:pPr>
              <w:keepNext w:val="0"/>
              <w:keepLines w:val="0"/>
              <w:pageBreakBefore w:val="0"/>
              <w:kinsoku/>
              <w:overflowPunct/>
              <w:topLinePunct w:val="0"/>
              <w:autoSpaceDE/>
              <w:autoSpaceDN/>
              <w:bidi w:val="0"/>
              <w:adjustRightInd w:val="0"/>
              <w:snapToGrid w:val="0"/>
              <w:spacing w:after="0" w:line="240" w:lineRule="auto"/>
              <w:jc w:val="both"/>
              <w:textAlignment w:val="auto"/>
              <w:rPr>
                <w:rFonts w:hint="eastAsia" w:ascii="Microsoft YaHei UI" w:hAnsi="Microsoft YaHei UI" w:eastAsia="Microsoft YaHei UI" w:cs="Microsoft YaHei UI"/>
                <w:i w:val="0"/>
                <w:iCs w:val="0"/>
                <w:caps w:val="0"/>
                <w:spacing w:val="8"/>
                <w:sz w:val="25"/>
                <w:szCs w:val="25"/>
              </w:rPr>
            </w:pPr>
          </w:p>
        </w:tc>
        <w:tc>
          <w:tcPr>
            <w:tcW w:w="60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9B3C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表达20分</w:t>
            </w:r>
          </w:p>
        </w:tc>
        <w:tc>
          <w:tcPr>
            <w:tcW w:w="17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BEBB7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符合文体要求</w:t>
            </w:r>
          </w:p>
          <w:p w14:paraId="0D9C53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结构严谨</w:t>
            </w:r>
          </w:p>
          <w:p w14:paraId="0315B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语言流畅</w:t>
            </w:r>
          </w:p>
          <w:p w14:paraId="3A00CF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字迹工整</w:t>
            </w:r>
          </w:p>
        </w:tc>
        <w:tc>
          <w:tcPr>
            <w:tcW w:w="172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2900D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符合文体要求</w:t>
            </w:r>
          </w:p>
          <w:p w14:paraId="48527F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结构完整</w:t>
            </w:r>
          </w:p>
          <w:p w14:paraId="2A0253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语言通顺</w:t>
            </w:r>
          </w:p>
          <w:p w14:paraId="1E0EAA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字迹清楚</w:t>
            </w:r>
          </w:p>
        </w:tc>
        <w:tc>
          <w:tcPr>
            <w:tcW w:w="168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A97CE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基本符合文体要求</w:t>
            </w:r>
          </w:p>
          <w:p w14:paraId="31AB28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结构基本严谨</w:t>
            </w:r>
          </w:p>
          <w:p w14:paraId="41BD27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语言基本通畅</w:t>
            </w:r>
          </w:p>
          <w:p w14:paraId="227458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字迹基本清楚</w:t>
            </w:r>
          </w:p>
        </w:tc>
        <w:tc>
          <w:tcPr>
            <w:tcW w:w="181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537CB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不符合文体要求</w:t>
            </w:r>
          </w:p>
          <w:p w14:paraId="030AF2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结构混乱</w:t>
            </w:r>
          </w:p>
          <w:p w14:paraId="37630D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语言不通顺，语病多</w:t>
            </w:r>
          </w:p>
          <w:p w14:paraId="11F3DD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字迹潦草难辨</w:t>
            </w:r>
          </w:p>
        </w:tc>
      </w:tr>
      <w:tr w14:paraId="2265D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40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7534A8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发展等级</w:t>
            </w:r>
          </w:p>
        </w:tc>
        <w:tc>
          <w:tcPr>
            <w:tcW w:w="60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E5095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center"/>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特征20分</w:t>
            </w:r>
          </w:p>
        </w:tc>
        <w:tc>
          <w:tcPr>
            <w:tcW w:w="17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DCE0B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深刻</w:t>
            </w:r>
          </w:p>
          <w:p w14:paraId="3A1494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丰富</w:t>
            </w:r>
          </w:p>
          <w:p w14:paraId="3389AF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有文采</w:t>
            </w:r>
          </w:p>
          <w:p w14:paraId="57B9C0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有创意</w:t>
            </w:r>
          </w:p>
        </w:tc>
        <w:tc>
          <w:tcPr>
            <w:tcW w:w="172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67CB53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较深刻</w:t>
            </w:r>
          </w:p>
          <w:p w14:paraId="58859E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较丰富</w:t>
            </w:r>
          </w:p>
          <w:p w14:paraId="09CC13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较有文采</w:t>
            </w:r>
          </w:p>
          <w:p w14:paraId="1B7BC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较有创意</w:t>
            </w:r>
          </w:p>
        </w:tc>
        <w:tc>
          <w:tcPr>
            <w:tcW w:w="168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61311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略显深刻</w:t>
            </w:r>
          </w:p>
          <w:p w14:paraId="7BA122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略显丰富</w:t>
            </w:r>
          </w:p>
          <w:p w14:paraId="548084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略有文采</w:t>
            </w:r>
          </w:p>
          <w:p w14:paraId="0B07C7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略有创意</w:t>
            </w:r>
          </w:p>
        </w:tc>
        <w:tc>
          <w:tcPr>
            <w:tcW w:w="181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4B932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个别语句有深意</w:t>
            </w:r>
          </w:p>
          <w:p w14:paraId="6E9A02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个别例子较好</w:t>
            </w:r>
          </w:p>
          <w:p w14:paraId="45A0A6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个别语句较精彩</w:t>
            </w:r>
          </w:p>
          <w:p w14:paraId="7CA483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default" w:ascii="Calibri" w:hAnsi="Calibri" w:cs="Calibri"/>
                <w:b w:val="0"/>
                <w:bCs w:val="0"/>
                <w:sz w:val="24"/>
                <w:szCs w:val="24"/>
              </w:rPr>
            </w:pPr>
            <w:r>
              <w:rPr>
                <w:rFonts w:hint="eastAsia" w:ascii="宋体" w:hAnsi="宋体" w:eastAsia="宋体" w:cs="宋体"/>
                <w:b w:val="0"/>
                <w:bCs w:val="0"/>
                <w:i w:val="0"/>
                <w:iCs w:val="0"/>
                <w:caps w:val="0"/>
                <w:spacing w:val="8"/>
                <w:sz w:val="25"/>
                <w:szCs w:val="25"/>
                <w:bdr w:val="none" w:color="auto" w:sz="0" w:space="0"/>
              </w:rPr>
              <w:t>个别地方有新意</w:t>
            </w:r>
          </w:p>
        </w:tc>
      </w:tr>
    </w:tbl>
    <w:p w14:paraId="19C14E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其他问题：</w:t>
      </w:r>
    </w:p>
    <w:p w14:paraId="660504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（一）关于扣分</w:t>
      </w:r>
    </w:p>
    <w:p w14:paraId="2D14BC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 缺标题扣 2分。</w:t>
      </w:r>
    </w:p>
    <w:p w14:paraId="6CEDF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 字数不足800字，每少50字扣1分。建议字数不够600字的文章，总得分控制在 36分以内。全文不足400字，综合给分不能超过20分。不足200字，10分以下评分，不再扣字数分。只写一两句话的，给1分或2分，不评0分。只写标题的，给1分或2分，不评0分。完全空白的，评0分。</w:t>
      </w:r>
    </w:p>
    <w:p w14:paraId="054969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3. 每个错别字扣1分，重复不计，上限5分(考虑偶有1-2字笔误的情形，评卷程序从第三个错别字开始扣分，扣满5分为止)。</w:t>
      </w:r>
    </w:p>
    <w:p w14:paraId="07D15C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4. 标点错误多，或点实点、标题后加标点、一“逗”到底的，扣1到2分。</w:t>
      </w:r>
    </w:p>
    <w:p w14:paraId="18976B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5. 用繁体字或甲骨文：用含义不清、流传不广的网络语言，酌情扣分。</w:t>
      </w:r>
    </w:p>
    <w:p w14:paraId="799BAA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（二）特殊情况处理</w:t>
      </w:r>
    </w:p>
    <w:p w14:paraId="7DB970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1. 如确定为套作的文章，给分不超过 20分。抄袭的基础等级控制在四等内，发展等级不给分。认定抄袭试卷要慎重。</w:t>
      </w:r>
    </w:p>
    <w:p w14:paraId="162A00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2. 满分作文。评定要慎重，确保满分作文的高质量、耐推敲。</w:t>
      </w:r>
    </w:p>
    <w:p w14:paraId="690985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审题立意</w:t>
      </w:r>
      <w:r>
        <w:rPr>
          <w:rFonts w:hint="default" w:ascii="Times New Roman" w:hAnsi="Times New Roman" w:cs="Times New Roman"/>
          <w:b w:val="0"/>
          <w:bCs w:val="0"/>
          <w:i w:val="0"/>
          <w:iCs w:val="0"/>
          <w:caps w:val="0"/>
          <w:spacing w:val="8"/>
          <w:sz w:val="25"/>
          <w:szCs w:val="25"/>
          <w:bdr w:val="none" w:color="auto" w:sz="0" w:space="0"/>
          <w:shd w:val="clear" w:fill="FFFFFF"/>
        </w:rPr>
        <w:t>]</w:t>
      </w:r>
    </w:p>
    <w:p w14:paraId="53F61D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（一）材料解读 </w:t>
      </w:r>
    </w:p>
    <w:p w14:paraId="0A0A26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这三则材料围绕“青春”“青年”展开，李大钊强调青春的创造力量，毛泽东突出奋斗对青年的意义，习近平则指明学习是青年的首要任务。三者相辅相成，共同构建了新时代青年的成长坐标，为新时代青年建功立业指明了方向。</w:t>
      </w:r>
    </w:p>
    <w:p w14:paraId="704CFD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从材料整体来看，其核心观点是平凡与伟大并非相互对立，而是相互依存、相互转化的。平凡是生活最本真的底色，是大多数人日常的状态，它看似普通、寻常，没有惊天动地的壮举，没有耀眼夺目的光环。然而，伟大正孕育于平凡之中。那些在平凡岗位上默默耕耘、无私奉献的人，用日复一日的坚持和努力，将平凡的工作做到了极致，从而创造出非凡的价值，实现了从平凡到伟大的跨越。</w:t>
      </w:r>
    </w:p>
    <w:p w14:paraId="454AC7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（二）立意角度</w:t>
      </w:r>
    </w:p>
    <w:p w14:paraId="7434A6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可以从个人层面出发，思考如何在平凡的生活中塑造伟大。每个人都可以是平凡的个体，但只要心怀梦想、坚守初心，在平凡的岗位上脚踏实地、勤奋努力，就能绽放出属于自己的光芒。比如，环卫工人用辛勤的劳动换来城市的整洁，教师在三尺讲台上培育祖国的未来，快递小哥风雨无阻地传递着温暖与便利，他们都在平凡中彰显着伟大。</w:t>
      </w:r>
    </w:p>
    <w:p w14:paraId="40C958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从社会层面来看，平凡人的伟大汇聚起来，就是推动社会进步的强大力量。一个社会的正常运转，离不开无数平凡人的默默付出。正是这些平凡人的坚守与奉献，构成了社会稳定发展的基石。我们应尊重每一位平凡的劳动者，认可他们的价值，营造一个崇尚平凡、致敬伟大的社会氛围。</w:t>
      </w:r>
    </w:p>
    <w:p w14:paraId="6AACAD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同时，也要认识到，伟大并非遥不可及，它并非只属于那些做出巨大成就的人。只要我们在平凡中保持积极向上的态度，勇于担当责任，努力追求卓越，就能在平凡中书写不平凡的人生篇章，实现个人价值与社会价值的统一。</w:t>
      </w:r>
    </w:p>
    <w:p w14:paraId="1FD86D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（三）立意参考</w:t>
      </w:r>
    </w:p>
    <w:p w14:paraId="5E10D2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①青年的三重使命：将学习、奋斗、创造结合，释青年在个人成长与国家发展中的角色。</w:t>
      </w:r>
    </w:p>
    <w:p w14:paraId="277046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②奋斗，青春永恒的底色：聚焦“永久奋斗”，结合当今时代特点，论述以奋斗践行青年使命，实现人生价值，完成伟大复兴。</w:t>
      </w:r>
    </w:p>
    <w:p w14:paraId="0DAABE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③学习，赋能青春创造：从学习的重要性切入，说明只有通过持续的艰苦学习，才能更好地成长成才，从而具备创造的资本。</w:t>
      </w:r>
    </w:p>
    <w:p w14:paraId="289084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宋体" w:hAnsi="宋体" w:eastAsia="宋体" w:cs="宋体"/>
          <w:b w:val="0"/>
          <w:bCs w:val="0"/>
          <w:i w:val="0"/>
          <w:iCs w:val="0"/>
          <w:caps w:val="0"/>
          <w:spacing w:val="8"/>
          <w:sz w:val="25"/>
          <w:szCs w:val="25"/>
          <w:bdr w:val="none" w:color="auto" w:sz="0" w:space="0"/>
          <w:shd w:val="clear" w:fill="FFFFFF"/>
        </w:rPr>
        <w:t>④努力学习，永久奋斗，方能创造美好世界：从三则材料之间的内在联系角度思考，“青春之我”，如何才能创建“青春之家庭……青春之字宙”呢，唯有努力学习，永久奋斗。</w:t>
      </w:r>
    </w:p>
    <w:p w14:paraId="47D275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default" w:ascii="Times New Roman" w:hAnsi="Times New Roman" w:cs="Times New Roman"/>
          <w:b w:val="0"/>
          <w:bCs w:val="0"/>
          <w:i w:val="0"/>
          <w:iCs w:val="0"/>
          <w:caps w:val="0"/>
          <w:spacing w:val="8"/>
          <w:sz w:val="25"/>
          <w:szCs w:val="25"/>
          <w:bdr w:val="none" w:color="auto" w:sz="0" w:space="0"/>
          <w:shd w:val="clear" w:fill="FFFFFF"/>
        </w:rPr>
        <w:t>[</w:t>
      </w:r>
      <w:r>
        <w:rPr>
          <w:rFonts w:hint="eastAsia" w:ascii="黑体" w:hAnsi="宋体" w:eastAsia="黑体" w:cs="黑体"/>
          <w:b w:val="0"/>
          <w:bCs w:val="0"/>
          <w:i w:val="0"/>
          <w:iCs w:val="0"/>
          <w:caps w:val="0"/>
          <w:spacing w:val="8"/>
          <w:sz w:val="25"/>
          <w:szCs w:val="25"/>
          <w:bdr w:val="none" w:color="auto" w:sz="0" w:space="0"/>
          <w:shd w:val="clear" w:fill="FFFFFF"/>
        </w:rPr>
        <w:t>写作例文</w:t>
      </w:r>
      <w:r>
        <w:rPr>
          <w:rFonts w:hint="default" w:ascii="Times New Roman" w:hAnsi="Times New Roman" w:cs="Times New Roman"/>
          <w:b w:val="0"/>
          <w:bCs w:val="0"/>
          <w:i w:val="0"/>
          <w:iCs w:val="0"/>
          <w:caps w:val="0"/>
          <w:spacing w:val="8"/>
          <w:sz w:val="25"/>
          <w:szCs w:val="25"/>
          <w:bdr w:val="none" w:color="auto" w:sz="0" w:space="0"/>
          <w:shd w:val="clear" w:fill="FFFFFF"/>
        </w:rPr>
        <w:t>]</w:t>
      </w:r>
    </w:p>
    <w:p w14:paraId="35B82F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default" w:ascii="Calibri" w:hAnsi="Calibri" w:cs="Calibri"/>
          <w:b w:val="0"/>
          <w:bCs w:val="0"/>
          <w:i w:val="0"/>
          <w:iCs w:val="0"/>
          <w:caps w:val="0"/>
          <w:spacing w:val="8"/>
          <w:sz w:val="24"/>
          <w:szCs w:val="24"/>
        </w:rPr>
      </w:pPr>
      <w:r>
        <w:rPr>
          <w:rFonts w:hint="eastAsia" w:ascii="楷体" w:hAnsi="楷体" w:eastAsia="楷体" w:cs="楷体"/>
          <w:b/>
          <w:bCs/>
          <w:i w:val="0"/>
          <w:iCs w:val="0"/>
          <w:caps w:val="0"/>
          <w:spacing w:val="8"/>
          <w:sz w:val="25"/>
          <w:szCs w:val="25"/>
          <w:bdr w:val="none" w:color="auto" w:sz="0" w:space="0"/>
          <w:shd w:val="clear" w:fill="FFFFFF"/>
        </w:rPr>
        <w:t>以青春之学铸奋斗之魂，以少年之力创时代新篇</w:t>
      </w:r>
    </w:p>
    <w:p w14:paraId="3168BF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百年风云激荡，三代伟人寄语穿越时空，为青年指明前行方向。李大钊先生“以青春之我创青春之宇宙”的呐喊，毛泽东同志“永久奋斗”的箴言，习近平总书记“把学习作为首要任务”的嘱托，共同勾勒出中国青年的成长坐标：以学习为基，以奋斗为翼，方能在时代浪潮中书写青春华章。</w:t>
      </w:r>
    </w:p>
    <w:p w14:paraId="7B5EB4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学习是青春的底色，更是奋斗的底气。习近平总书记强调青年处于学习的黄金时期，这一论断在新时代青年身上得到生动诠释。热控工程师刘晗为卫星“量体裁衣”，用专业知识制作多层隔热组件，抵御太空近300摄氏度温差，正是日复一日的钻研让她成为卫星“高定服装设计师”；农业职业经理人高雅欣扎根基层，将兽医专业知识转化为养殖实操方案，与高校合作破解奶牛乳房炎难题，用学识为农民致富铺路。在知识迭代加速的今天，青年唯有把学习当作责任与追求，既打牢基础知识，又紧跟时代步伐，才能练就过硬本领，为奋斗之路筑牢根基。</w:t>
      </w:r>
      <w:r>
        <w:rPr>
          <w:rFonts w:hint="eastAsia" w:ascii="楷体" w:hAnsi="楷体" w:eastAsia="楷体" w:cs="楷体"/>
          <w:b w:val="0"/>
          <w:bCs w:val="0"/>
          <w:i w:val="0"/>
          <w:iCs w:val="0"/>
          <w:caps w:val="0"/>
          <w:color w:val="FFFFFF"/>
          <w:spacing w:val="8"/>
          <w:sz w:val="25"/>
          <w:szCs w:val="25"/>
          <w:bdr w:val="none" w:color="auto" w:sz="0" w:space="0"/>
          <w:shd w:val="clear" w:fill="FFFFFF"/>
        </w:rPr>
        <w:t>超  然 客 公 众 号</w:t>
      </w:r>
    </w:p>
    <w:p w14:paraId="1E6468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奋斗是青春的姿态，更是使命的担当。毛泽东同志将“永久奋斗”作为模范青年的核心标准，这一要求在百年青年运动中一脉相承。从军营走出的谢华，在网约车行业乱象丛生时勇闯蓝海，创立规范化运营平台，更构建起全场景出行生态，用“车轮上的党支部”传递温暖，以奋斗诠释青年担当；选调生赵均威放弃齐鲁大地的安逸，扎根贵州山村，从支教老师到村支书助理，用青春汗水浇灌西部发展之花。青春的价值不在于安逸享乐，而在于直面挑战、勇挑重担，在与境遇奋斗、与时代奋斗中绽放光彩。</w:t>
      </w:r>
    </w:p>
    <w:p w14:paraId="246408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创造是青春的使命，更是时代的召唤。李大钊先生“创建青春之国家、青春之民族”的号召，呼唤着青年的创新创造活力。神舟十六号航天员朱杨柱凭借不懈学习与奋斗，成为我国首位登上太空的航天飞行工程师，在浩瀚宇宙书写青春答卷；谢华牵头成立出租汽车行业协会，推出95128叫车平台，成为河南省行业改革试点，用创新破解发展难题。新时代的青年，既要有“敢为天下先”的闯劲，也要有“功成不必在我”的胸襟，将个人理想融入国家发展大局，在科技攻关、乡村振兴、社会服务等领域勇立潮头，以青春之创造托举民族复兴梦想。</w:t>
      </w:r>
    </w:p>
    <w:p w14:paraId="5FFF4E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default" w:ascii="Calibri" w:hAnsi="Calibri" w:cs="Calibri"/>
          <w:b w:val="0"/>
          <w:bCs w:val="0"/>
          <w:i w:val="0"/>
          <w:iCs w:val="0"/>
          <w:caps w:val="0"/>
          <w:spacing w:val="8"/>
          <w:sz w:val="24"/>
          <w:szCs w:val="24"/>
        </w:rPr>
      </w:pPr>
      <w:r>
        <w:rPr>
          <w:rFonts w:hint="eastAsia" w:ascii="楷体" w:hAnsi="楷体" w:eastAsia="楷体" w:cs="楷体"/>
          <w:b w:val="0"/>
          <w:bCs w:val="0"/>
          <w:i w:val="0"/>
          <w:iCs w:val="0"/>
          <w:caps w:val="0"/>
          <w:spacing w:val="8"/>
          <w:sz w:val="25"/>
          <w:szCs w:val="25"/>
          <w:bdr w:val="none" w:color="auto" w:sz="0" w:space="0"/>
          <w:shd w:val="clear" w:fill="FFFFFF"/>
        </w:rPr>
        <w:t>从李大钊先生笔下“惟知跃进，惟知雄飞”的青年，到毛泽东同志眼中“最积极最有生气”的力量，再到习近平总书记寄予厚望的“堪当大任”的时代新人，中国青年的责任与使命始终与国家民族紧密相连。作为新时代青年，我们当以学习涵养底气，以奋斗锤炼筋骨，以创造开拓未来。在实验室里攻坚克难，在田间地头挥洒汗水，在基层一线服务民生，让青春在全面建设社会主义现代化国家的火热实践中绽放绚丽之花，用实际行动践行“以青春之我，创青春之时代”的庄严承诺！</w:t>
      </w:r>
    </w:p>
    <w:p w14:paraId="232244D1">
      <w:pPr>
        <w:keepNext w:val="0"/>
        <w:keepLines w:val="0"/>
        <w:pageBreakBefore w:val="0"/>
        <w:kinsoku/>
        <w:overflowPunct/>
        <w:topLinePunct w:val="0"/>
        <w:autoSpaceDE/>
        <w:autoSpaceDN/>
        <w:bidi w:val="0"/>
        <w:adjustRightInd w:val="0"/>
        <w:snapToGrid w:val="0"/>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433FF"/>
    <w:rsid w:val="20743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2026-01-05T00:57:00Z</dcterms:created>
  <dc:creator>李琴</dc:creator>
  <cp:lastModifiedBy>李琴</cp:lastModifiedBy>
  <dcterms:modified xsi:type="dcterms:W3CDTF">2026-01-05T00:59:57Z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C13E184490574C9BAF32F600AD3AE973_11</vt:lpwstr>
  </property>
  <property fmtid="{D5CDD505-2E9C-101B-9397-08002B2CF9AE}" pid="4" name="KSOTemplateDocerSaveRecord">
    <vt:lpwstr>eyJoZGlkIjoiODM2YjM3MWQ1YmY5ZDlmYTYyYjQ1YTQzNGVlNTMyNzAiLCJ1c2VySWQiOiI0NTY5NTk1ODEifQ==</vt:lpwstr>
  </property>
</Properties>
</file>