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39BB6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0"/>
        <w:rPr>
          <w:rFonts w:hint="eastAsia" w:asciiTheme="minorEastAsia" w:hAnsiTheme="minorEastAsia" w:eastAsiaTheme="minorEastAsia" w:cstheme="minorEastAsia"/>
          <w:b/>
          <w:bCs/>
          <w:i w:val="0"/>
          <w:iCs w:val="0"/>
          <w:caps w:val="0"/>
          <w:spacing w:val="8"/>
          <w:sz w:val="24"/>
          <w:szCs w:val="24"/>
        </w:rPr>
      </w:pPr>
      <w:bookmarkStart w:id="0" w:name="_GoBack"/>
      <w:r>
        <w:rPr>
          <w:rFonts w:hint="eastAsia" w:asciiTheme="minorEastAsia" w:hAnsiTheme="minorEastAsia" w:eastAsiaTheme="minorEastAsia" w:cstheme="minorEastAsia"/>
          <w:b/>
          <w:bCs/>
          <w:i w:val="0"/>
          <w:iCs w:val="0"/>
          <w:caps w:val="0"/>
          <w:spacing w:val="8"/>
          <w:sz w:val="24"/>
          <w:szCs w:val="24"/>
          <w:bdr w:val="none" w:color="auto" w:sz="0" w:space="0"/>
          <w:shd w:val="clear" w:fill="FFFFFF"/>
        </w:rPr>
        <w:t>山东省青岛市2025-2026学年度第一学期教学质量检测高三语文试题</w:t>
      </w:r>
    </w:p>
    <w:bookmarkEnd w:id="0"/>
    <w:p w14:paraId="3C51B39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ascii="Microsoft YaHei UI" w:hAnsi="Microsoft YaHei UI" w:eastAsia="Microsoft YaHei UI" w:cs="Microsoft YaHei UI"/>
          <w:i w:val="0"/>
          <w:iCs w:val="0"/>
          <w:caps w:val="0"/>
          <w:spacing w:val="8"/>
          <w:sz w:val="21"/>
          <w:szCs w:val="21"/>
        </w:rPr>
      </w:pPr>
      <w:r>
        <w:rPr>
          <w:rFonts w:ascii="黑体" w:hAnsi="宋体" w:eastAsia="黑体" w:cs="黑体"/>
          <w:i w:val="0"/>
          <w:iCs w:val="0"/>
          <w:caps w:val="0"/>
          <w:color w:val="000000"/>
          <w:spacing w:val="8"/>
          <w:sz w:val="21"/>
          <w:szCs w:val="21"/>
          <w:bdr w:val="none" w:color="auto" w:sz="0" w:space="0"/>
          <w:shd w:val="clear" w:fill="FFFFFF"/>
          <w:vertAlign w:val="baseline"/>
        </w:rPr>
        <w:t>注意事项：</w:t>
      </w:r>
    </w:p>
    <w:p w14:paraId="3C422D5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1.答卷前，考生务必将自己的姓名和考号填涂在答题卡上。</w:t>
      </w:r>
    </w:p>
    <w:p w14:paraId="50BA709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2.回答选择题时，选出每小题答案后，用铅笔把答题卡上对应题目的答案标号涂黑。如需改动，用橡皮擦干净后，再选涂其他答案标号。回答非选择题时，将答案写在答题卡上。写在本试卷上无效。</w:t>
      </w:r>
    </w:p>
    <w:p w14:paraId="0868F04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ascii="等线" w:hAnsi="等线" w:eastAsia="等线" w:cs="等线"/>
          <w:i w:val="0"/>
          <w:iCs w:val="0"/>
          <w:caps w:val="0"/>
          <w:spacing w:val="8"/>
          <w:sz w:val="21"/>
          <w:szCs w:val="21"/>
          <w:bdr w:val="none" w:color="auto" w:sz="0" w:space="0"/>
          <w:shd w:val="clear" w:fill="FFFFFF"/>
          <w:vertAlign w:val="baseline"/>
        </w:rPr>
        <w:t> </w:t>
      </w:r>
    </w:p>
    <w:p w14:paraId="76D3571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一、阅读(70分)</w:t>
      </w:r>
    </w:p>
    <w:p w14:paraId="677BE69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(一)阅读(本题共5小题， 19分)</w:t>
      </w:r>
    </w:p>
    <w:p w14:paraId="3BB9786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阅读下面的文字，完成1~5题。</w:t>
      </w:r>
    </w:p>
    <w:p w14:paraId="6D6E159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黑体" w:hAnsi="宋体" w:eastAsia="黑体" w:cs="黑体"/>
          <w:i w:val="0"/>
          <w:iCs w:val="0"/>
          <w:caps w:val="0"/>
          <w:color w:val="000000"/>
          <w:spacing w:val="8"/>
          <w:sz w:val="21"/>
          <w:szCs w:val="21"/>
          <w:bdr w:val="none" w:color="auto" w:sz="0" w:space="0"/>
          <w:shd w:val="clear" w:fill="FFFFFF"/>
          <w:vertAlign w:val="baseline"/>
        </w:rPr>
        <w:t>材料一：</w:t>
      </w:r>
    </w:p>
    <w:p w14:paraId="58FBA2E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ascii="楷体" w:hAnsi="楷体" w:eastAsia="楷体" w:cs="楷体"/>
          <w:i w:val="0"/>
          <w:iCs w:val="0"/>
          <w:caps w:val="0"/>
          <w:color w:val="000000"/>
          <w:spacing w:val="8"/>
          <w:sz w:val="21"/>
          <w:szCs w:val="21"/>
          <w:bdr w:val="none" w:color="auto" w:sz="0" w:space="0"/>
          <w:shd w:val="clear" w:fill="FFFFFF"/>
          <w:vertAlign w:val="baseline"/>
        </w:rPr>
        <w:t>“谷子”音译自英文单词“Goods”，本义为以物质形式存在的各类商品，这里指以动画、漫画、游戏为主要形态的二次元IP周边产品，如徽章、手办、钥匙扣、卡牌、毛绒玩偶等。“谷子”一般以二次元人物形象为核心，近年来备受关注的“日向翔阳”等。在青年消费者眼中，这些虚拟角色是具有灵动生命力的真实个体，在从虚拟偶像身上寻求情感寄托和精神指引时，他们逐渐模糊了事实与虚构之间的界限。因为这种情感和情绪联结机制，近年来，各种形式的“谷子”受到热捧，掀起了一场青年“吃谷”热潮。</w:t>
      </w:r>
    </w:p>
    <w:p w14:paraId="322E58F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青少年热衷于购买“谷子”很大程度上就是通过这个物建立起和角色的关联。徽章、立牌、挂件等“谷子”从其产生起就不是可供日常使用的物。也就是说，在青年消费主义的话语下，物的实用性和功能性已经被消解。主导“谷子”消费的是隐藏在物品背后的符号角色，构成这些角色的外在(如形象、服饰)和内涵(如性格、个性)属性及角色所嵌入的叙事背景形成一个完整的符号系统，青年通过系统表征背后的意义，完成自我的情感投射。</w:t>
      </w:r>
      <w:r>
        <w:rPr>
          <w:rFonts w:hint="eastAsia" w:ascii="宋体" w:hAnsi="宋体" w:eastAsia="宋体" w:cs="宋体"/>
          <w:i w:val="0"/>
          <w:iCs w:val="0"/>
          <w:caps w:val="0"/>
          <w:color w:val="FFFFFF"/>
          <w:spacing w:val="8"/>
          <w:sz w:val="21"/>
          <w:szCs w:val="21"/>
          <w:bdr w:val="none" w:color="auto" w:sz="0" w:space="0"/>
          <w:shd w:val="clear" w:fill="FFFFFF"/>
          <w:vertAlign w:val="baseline"/>
        </w:rPr>
        <w:t>超  然 客 公 众 号</w:t>
      </w:r>
    </w:p>
    <w:p w14:paraId="02C6E59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此外，对“谷子”有选择地占有消费也是一种情绪满足策略。比如在“吃谷”时，不少人通过一次性购入多个同样的“谷子”，即“吃复数”来表达自己对二次元人物的喜爱。所以，“为情绪买单”对年轻人来说已然成为日常。与此同时，青年们也难以投入大量时间维系深层的人际交往，他们更愿意建立一种保留个人空间边界的实用性社交关系。于是，对“陪伴物”的占有构建了一个抵抗传统黏稠化人际社交的悦己框架，在这个框架内，“吃复数”“摆阵”(将“谷子”按特定想法摆放)等成为提供情绪价值的具象形式。</w:t>
      </w:r>
    </w:p>
    <w:p w14:paraId="6127735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在商业资本、网络媒介和青年亚文化的合力下，“谷子经济”已成为一种新的青年消费景观。从20世纪80年代末的二次元消费萌芽，到群体性链接、出圈和整合，“谷子经济”的发展不仅反映了年轻一代的消费行为和情感需求，还深刻地影响了他们的生活方式、社交模式和身份认同。</w:t>
      </w:r>
    </w:p>
    <w:p w14:paraId="3B6B890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谷子经济”的演进脉络折射出青年亚文化消费的新特征，其核心在于消费逻辑的根本性转变。作为“丰盛的一代”，当代青年所经历的物质丰裕与缺乏深度连接的人际关系形成巨大的落差，这使他们急切需要归属感、尊重和自我实现等。因此“感到快乐”“表达爱意”成为他们消费的主要目的，“物”带来的情绪价值和情感满足远比实用功能更加重要。对情绪价值的无止境追求往往成为亚文化商业化“收编”的重要方式。“谷子”消费从核心二次元圈层扩展到泛二次元甚至大众市场，正是商业化“收编”的结果。由“快乐原则”所主导的情绪价值伴随着商业“收编”不断宰制着消费者，商业资本和网媒技术不断挖掘和刺激青年们的消费欲望，最终走向一种亚文化消费主义。</w:t>
      </w:r>
    </w:p>
    <w:p w14:paraId="1832730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谷子经济”所隐喻的“青年新消费主义”具有双重属性：一方面，作为一种社会事实，它象征着青年消费者在消费内容和消费观念等方面的深刻变革，意味着青年群体与他人、商品、货币之间现代性关系的确立。青年们在“谷子经济”中的行为观念说明了亚文化消费生态的变化——他们不仅对商品化了的二次元文化内容本身进行消费，同时也对“物”的价值和消费方式进行了重塑。另一方面，“青年新消费主义”感召力的背后是青年群体普遍的情感焦虑与意义贫困。因此，深入探究青年习惯性自我悦意态度的形成非常关键。只有在充分理解其内在动因的基础上，不断优化商品的文化内涵，构建良性互动的消费生态，才能有效引导青年群体形成健康、理性的消费观念与生活方式，进而在真实的日常中完成意义的主动建构与价值升华。</w:t>
      </w:r>
    </w:p>
    <w:p w14:paraId="3536A03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(摘编自乐晶、王兆铭《青年新消费主义：“谷子经济”的发展脉络与文化肌理》)</w:t>
      </w:r>
    </w:p>
    <w:p w14:paraId="4CEA1A9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黑体" w:hAnsi="宋体" w:eastAsia="黑体" w:cs="黑体"/>
          <w:i w:val="0"/>
          <w:iCs w:val="0"/>
          <w:caps w:val="0"/>
          <w:color w:val="000000"/>
          <w:spacing w:val="8"/>
          <w:sz w:val="21"/>
          <w:szCs w:val="21"/>
          <w:bdr w:val="none" w:color="auto" w:sz="0" w:space="0"/>
          <w:shd w:val="clear" w:fill="FFFFFF"/>
          <w:vertAlign w:val="baseline"/>
        </w:rPr>
        <w:t>材料二：</w:t>
      </w:r>
    </w:p>
    <w:p w14:paraId="01A54A2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①尽管“谷子现象”在一定程度上带动了文化消费，促进了多元文化交流，但随之而来的市场乱象频发、不理性消费行为增多以及青年精神生活异化等负面效应也不容忽视。因此，必须及时采取相应策略，引导青年理性“吃谷”。</w:t>
      </w:r>
    </w:p>
    <w:p w14:paraId="3D55EE0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甲：</w:t>
      </w:r>
    </w:p>
    <w:p w14:paraId="371ED74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②消费主义以追求感官享受和经济利益最大化为根本目标，致使部分青年形成错误的消费观，进而引发个人精神世界的迷惘。引导他们树立科学的消费观念，养成良好的消费行为，需从三方面入手。一是确立正确价值导向。以社会主义核心价值观为引领、马克思主义消费观为理论武器，助青年摆脱消费主义误导，回归基于实际需求与经济能力的理性消费。二是辨析理性消费动力。青年要认清消费不是生活终极目的，“吃谷”应源于对文化及作品价值观、情感的认同，而非盲目追潮或满足虚荣。三是健全健康消费心理。引导青年理性看待“吃谷”动机，明确其只是满足精神需求的方式之一，鼓励将精力分配到学业、职业、社交等领域，实现全面发展。</w:t>
      </w:r>
    </w:p>
    <w:p w14:paraId="41A74C4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推动圈层破壁：培育积极向上的消费文化</w:t>
      </w:r>
    </w:p>
    <w:p w14:paraId="5736840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③青年 “吃谷”深受圈层文化影响，引导其合理“吃谷”需构建积极健康的圈层文化，可从三方面入手。一是尊重文化差异。接纳不同圈层的消费文化与审美，鼓励青年保持个性的同时打破壁垒，避免局限于单一圈子形成狭隘观念。二是推动文化融合。促进“吃谷”相关的二次元文化与主流文化对话融合，打破圈层壁垒，使其发挥更大的积极作用。三是挖掘文化深度。引导创作者深耕优质IP，以热血、梦想等为内核塑造角色与叙事，借主流文化破壁吸引青年关注“谷子”背后的文化魅力，推动其出圈。</w:t>
      </w:r>
    </w:p>
    <w:p w14:paraId="06AF9D3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乙</w:t>
      </w:r>
      <w:r>
        <w:rPr>
          <w:rFonts w:hint="eastAsia" w:ascii="楷体" w:hAnsi="楷体" w:eastAsia="楷体" w:cs="楷体"/>
          <w:i w:val="0"/>
          <w:iCs w:val="0"/>
          <w:caps w:val="0"/>
          <w:color w:val="000000"/>
          <w:spacing w:val="8"/>
          <w:sz w:val="21"/>
          <w:szCs w:val="21"/>
          <w:u w:val="single"/>
          <w:bdr w:val="none" w:color="auto" w:sz="0" w:space="0"/>
          <w:shd w:val="clear" w:fill="FFFFFF"/>
          <w:vertAlign w:val="baseline"/>
        </w:rPr>
        <w:t>: _______________ </w:t>
      </w:r>
    </w:p>
    <w:p w14:paraId="11785E6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④当前部分商家为了迎合低级审美趣味而不惜僭越法律与道德的底线，这损害了消费者合法权益，扭曲了消费市场的竞争机制，破坏了消费文化的健康发展，因此亟须法律与伦理构建双向治理体系。一是完善法律监管体系。政府要制定明确的法律条款和处罚措施，明确商家在文化产品和服务中的责任和义务，加大对违法违规行为的惩处力度。同时，要加强对文化产业市场的监管力度，建立健全市场准入和退出机制，规范市场秩序，维护公平竞争的市场环境。二是强化伦理治理机制。商家应自觉遵守社会公德和商业伦理，坚守商业道德底线，致力于提供高质量的产品和服务。行业组织需发挥自律作用，制定并执行严格的行业规范。通过伦理治理，营造积极健康的文化消费氛围，重构价值认同。例如举办“谷子”改造大赛，鼓励青年通过手工艺赋予旧谷子新意义，将文化参与从“购买”转向“创作”，促进青年“吃谷”现象的良性发展。</w:t>
      </w:r>
      <w:r>
        <w:rPr>
          <w:rFonts w:hint="eastAsia" w:ascii="宋体" w:hAnsi="宋体" w:eastAsia="宋体" w:cs="宋体"/>
          <w:i w:val="0"/>
          <w:iCs w:val="0"/>
          <w:caps w:val="0"/>
          <w:color w:val="FFFFFF"/>
          <w:spacing w:val="8"/>
          <w:sz w:val="21"/>
          <w:szCs w:val="21"/>
          <w:bdr w:val="none" w:color="auto" w:sz="0" w:space="0"/>
          <w:shd w:val="clear" w:fill="FFFFFF"/>
          <w:vertAlign w:val="baseline"/>
        </w:rPr>
        <w:t>超  然 客 公 众 号</w:t>
      </w:r>
    </w:p>
    <w:p w14:paraId="2B5663A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(摘编自章梦娴、郭超《消费主义视域下青年“吃谷”现象透析及引导》)</w:t>
      </w:r>
    </w:p>
    <w:p w14:paraId="3D98CA0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1.下列对材料相关内容的理解和分析，不正确的一项是 (3分)</w:t>
      </w:r>
    </w:p>
    <w:p w14:paraId="0F322C4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A.“谷子”是二次元虚拟人物的周边产品，虽无实用性和功能性，却成为青年消费者和虚拟人物的情感和情绪的联结。</w:t>
      </w:r>
    </w:p>
    <w:p w14:paraId="5BADF85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B.物质丰裕的当下，许多青年优先追求情绪价值和情感满足，这种消费逻辑催生了“谷子消费”和“谷子经济”。</w:t>
      </w:r>
    </w:p>
    <w:p w14:paraId="6940FF7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C.引导青年合理“吃谷”，需以构建积极健康的圈层文化为依托，从尊重文化差异、推动文化融合、挖掘文化深度三方面采取举措。</w:t>
      </w:r>
    </w:p>
    <w:p w14:paraId="4B5729A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D.商家举办“谷子”改造大赛，是法律与伦理双向治理的典型实践，能有效推动青年从文化产品的“购买者”转变为“创作者”。</w:t>
      </w:r>
    </w:p>
    <w:p w14:paraId="6869D88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2.根据材料内容，下列说法不正确的一项是 (3分)</w:t>
      </w:r>
    </w:p>
    <w:p w14:paraId="59F9987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A.青年以“吃复数”“摆阵”等方式对待“谷子”，既体现了对虚拟角色的喜爱，也是应对社交困境、获取情绪满足的策略。</w:t>
      </w:r>
    </w:p>
    <w:p w14:paraId="16B82A5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B.“谷子”消费从核心二次元圈层走向大众市场，核心原因是商业化“收编”、情绪价值驱动、资本与网媒技术的助推。</w:t>
      </w:r>
    </w:p>
    <w:p w14:paraId="14A24A1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C.材料二中作者认为要消除“谷子现象”的负面效应，最重要的是让青年明确“吃谷”应基于经济能力和对文化的认同，而非虚荣或盲从。</w:t>
      </w:r>
    </w:p>
    <w:p w14:paraId="1ED76E5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D.推动二次元文化与主流文化融合，挖掘IP的文化深度，有助于打破圈层壁垒，让“谷子”发挥更大的文化价值而非仅具消费属性。</w:t>
      </w:r>
    </w:p>
    <w:p w14:paraId="3DAA63F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3.下列选项，最适合作为论据支撑材料一“青年新消费主义具有双重属性”观点的一项是(3分)</w:t>
      </w:r>
    </w:p>
    <w:p w14:paraId="58282C8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A.某高校学生为集齐某动画角色的全套卡牌，省吃俭用数月，最终在社交平台“晒谷”获得追捧，产生极大的归属感。</w:t>
      </w:r>
    </w:p>
    <w:p w14:paraId="5626B0F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B.国产游戏《原神》推出的“谷子”融入传统服饰元素，既成为青年追捧的潮品，也让部分消费者萌生了对传统美学的兴趣。</w:t>
      </w:r>
    </w:p>
    <w:p w14:paraId="267EC0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C.调查显示，超六成青年表示购买“谷子”是为了“让自己开心”，但同时也有近半数人承认曾因冲动消费而感到后悔。</w:t>
      </w:r>
    </w:p>
    <w:p w14:paraId="3C40584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D.随着“谷子经济”升温，相关生产标准缺失，部分商家推出的劣质产品引发投诉，扰乱了正常的市场竞争秩序。</w:t>
      </w:r>
    </w:p>
    <w:p w14:paraId="2C3A66C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4.请仿照第③段的小标题形式，给第②和第④段各拟一个小标题，填写在甲、乙两处，每个小标题不超过20个字。(4分)</w:t>
      </w:r>
    </w:p>
    <w:p w14:paraId="7E63C2A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 </w:t>
      </w:r>
    </w:p>
    <w:p w14:paraId="45D1F2F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 </w:t>
      </w:r>
    </w:p>
    <w:p w14:paraId="0DCD88B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5.学校拟开展“理性吃谷，健康成长”的主题教育活动，请结合材料二的内容，设计两个具体活动，并说明设计理由。(6分)</w:t>
      </w:r>
    </w:p>
    <w:p w14:paraId="62F168E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 </w:t>
      </w:r>
    </w:p>
    <w:p w14:paraId="343F451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 </w:t>
      </w:r>
    </w:p>
    <w:p w14:paraId="189751C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(二)阅读Ⅱ(本题共4小题，16分)</w:t>
      </w:r>
    </w:p>
    <w:p w14:paraId="79A02A5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阅读下面的文字，完成6~9题。</w:t>
      </w:r>
    </w:p>
    <w:p w14:paraId="4CDB65E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Microsoft YaHei UI" w:hAnsi="Microsoft YaHei UI" w:eastAsia="Microsoft YaHei UI" w:cs="Microsoft YaHei UI"/>
          <w:i w:val="0"/>
          <w:iCs w:val="0"/>
          <w:caps w:val="0"/>
          <w:spacing w:val="8"/>
          <w:sz w:val="21"/>
          <w:szCs w:val="21"/>
        </w:rPr>
      </w:pPr>
      <w:r>
        <w:rPr>
          <w:rFonts w:ascii="楷体" w:hAnsi="楷体" w:eastAsia="楷体" w:cs="楷体"/>
          <w:i w:val="0"/>
          <w:iCs w:val="0"/>
          <w:caps w:val="0"/>
          <w:color w:val="000000"/>
          <w:spacing w:val="8"/>
          <w:sz w:val="21"/>
          <w:szCs w:val="21"/>
          <w:bdr w:val="none" w:color="auto" w:sz="0" w:space="0"/>
          <w:shd w:val="clear" w:fill="FFFFFF"/>
          <w:vertAlign w:val="baseline"/>
        </w:rPr>
        <w:t>空山松子落</w:t>
      </w:r>
    </w:p>
    <w:p w14:paraId="42A39DB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刘海亮</w:t>
      </w:r>
    </w:p>
    <w:p w14:paraId="052BBFB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偶尔起夜，每每喜欢到窗前伫立。不为星斗满天，不为风雨霜雪，甚至什么缘由都没有，只是习惯而已。习惯是个很可怕的东西，幸好，尚不算陋习，也便听之任之。万籁俱寂的光景，人会忽然忆起许多东西，也会莫名的感动或伤神。譬如，一声模糊的梦呓，譬如，间或低沉的犬吼。生命的流逝在那一刻不再抽象，反而逐渐具象演绎。曾一度怀疑自己是个梦游者，抑或是活在纷纭摄像头下的楚门，他说：“我可能受到别人操纵。你有没有这种感觉，好像一生都身不由己。”</w:t>
      </w:r>
    </w:p>
    <w:p w14:paraId="16130FA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未知始于何时何地，我似乎已慢慢失去伤感的能力。只剩下沉默，振聋发聩般的沉默。蓦地又想起前些日子鲁迅先生那张被投诉的吸烟照，若是有灵，他老人家会不会在异空间崩溃?一百年过去了，还会享受这样的遭遇。而树人公并非孤例，或者说，这样的例子比比皆是。起码若干年前，孔圣塑像就不止一次被人拉出来游街示众。更有甚者，无数的前代人当代人会因为各种心机动不动便对某某古人指手画脚，以夹带私货。所谓品评，最忌离开特定的历史环境特定的生存环境特定的人文环境特定的政治环境去“口嗨”。人类社会的发展是个螺旋式上升的过程，以今日之规去适古人之矩，这个脑回路真是奇葩。什么古人纳妾古人缠足古人养佃古人愚民……不说古人了，你去那些依旧身处水深火热中的亚非拉不发达地区看一看，恐怕必有呼应。同样的问题还反映在拿国人的道德标准衡量国外社会方面，老兄，醒一醒哟，有关什么孝悌忠信礼义廉耻，这是以中国为中心的东亚文化圈所独有，并非放之四海而皆准。</w:t>
      </w:r>
    </w:p>
    <w:p w14:paraId="5800ED8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须远离张冠李戴断章取义，要因地因时因事制宜。未经他人苦，莫劝他人善。更莫要律己从宽律人从严，动辄摆圣母脸这样的姿态，不成过街老鼠才怪。上边怒其不争讲“清醒”，其实，在自身的浮沉挣扎跌宕起伏之间，最重要的是觉醒。庄子曰“俄然觉”(《庄子·齐物论》)，诸葛孔明曰“大梦谁先觉”(《三国演义》)，皆属鲜活的案例。诚然，是否真正“觉”了呢，这是个问题。觉醒需要生活的千锤百炼，需要古今中外优秀哲学思想的浸润，人非生而知之，所以，当头棒喝一朝悟才显得那么难能可贵。人类之哲学定有其时代属性阶级属性，你不能说栩栩然蝴蝶之悟的庄周，一如龙场悟道的王阳明。</w:t>
      </w:r>
    </w:p>
    <w:p w14:paraId="6E92AFA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伤感过，愤怒过，然后沉默。这不是逃避与放弃，而是另一种意义上的救赎。</w:t>
      </w:r>
    </w:p>
    <w:p w14:paraId="09AF9A1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因为再伤感，再愤怒，除了把事情搞得更糟，毫无裨益。人世间的许多东西作为个人是无法主宰的，类似的状况，在孔子身上，在庄子身上，在王阳明身上，在鲁迅身上，亦然。人生因缺憾而圆满，此语非口头禅耳，也非乱打机锋。宋人王楙《临终诗》云，“平生不学口头禅，脚踏实地性虚天”。宛若手执香烟一身长袍的中年鲁迅，早已不是那个热血沸腾的留学青年，人因事而长大，绝非是因一堆高耸的年轮数字。</w:t>
      </w:r>
    </w:p>
    <w:p w14:paraId="0AB63C3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静夜里窗前伫立，可是不会有这么多思想风暴的，绝大部分情况下，已彻底把大脑放空，抑或还没有从睡觉的状态中完全脱离。懵懵懂懂疏疏落落简简约约兢兢业业——张爱玲说，“中年以后的男人，时常会觉得孤独，因为他一睁开眼睛，周围都是要依靠他的人，却没有他可以依靠的人”，这不是真相，准确定义，这至少不是真相的全部。“空山松子落，幽人应未眠”(《秋夜寄丘二十二员外》韦应物)，在静夜里，哪怕一根针落在地上的声音，都会被无限放大，因而，松子呀，枝叶呀，衰败残存的果实呀，一只在楼下潜行的小动物呀，各各俱被耳朵记录在案。正是由于万籁俱寂，才有了伊辈表演的空间。</w:t>
      </w:r>
    </w:p>
    <w:p w14:paraId="7AF715D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沉默呵，沉默呵！不在沉默中爆发，就在沉默中灭亡。这句话置于此，已经失去了在《记念刘和珍君》中的政治涵义，鲁迅先生不曾提及的是，刘和珍有一个哥哥名叫刘哑佛，中共党员，曾参与中央特科工作，刘和珍的进步思想的源头，正是其胞兄。刘哑佛后于1939年牺牲，刘氏一家算是满门忠烈。之所以言说沉默者，非逃避与放弃，一方面是阅尽千帆后的沉淀，一方面是波澜不惊下的汹涌。战争的年代生大我，和平的年代也不是尽然皆小我，张爱玲的“中年论”倒是说明了一部分问题。此前跟人开玩笑：除了妻儿老小的，到了自家这儿，属于能省则省。收入菲薄是根本，心态也很重要。</w:t>
      </w:r>
    </w:p>
    <w:p w14:paraId="142F8AB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抛开社会性应酬不谈，历来羁旅间的居家生活，其谨慎纯朴，实过于僧侣之侪。大半生颠沛流离，每到一地，风景名胜，视若“仇雠”，独爱到老街徘徊，寺庙观庵也在探访之列，那些大腹便便的出家人，大有人在。有一次心血来潮花二十元吃了份素斋，一时惊得“花容失色”——大半碗菜，小半碗油，太吓人了哟。十数载以来，一直秉承微油少盐尽量不食荤腥的原则，在旅舍做饭再像酒肆饭馆那般放纵，明摆着奔着“三高”而去，后果不去形状，路人皆知。</w:t>
      </w:r>
    </w:p>
    <w:p w14:paraId="5210FE7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国人讲退隐，哪儿不可呢，非得跑到终南山里去，跑到华山后山去，佛家曰“着相”，唯物论者曰形式主义，其基础不牢，能修出个什么名堂，不过是个冷笑话。王维也写“空山”，诗名《山居秋暝》，“空山新雨后，天气晚来秋”，何等的应景呵。</w:t>
      </w:r>
      <w:r>
        <w:rPr>
          <w:rFonts w:hint="eastAsia" w:ascii="宋体" w:hAnsi="宋体" w:eastAsia="宋体" w:cs="宋体"/>
          <w:i w:val="0"/>
          <w:iCs w:val="0"/>
          <w:caps w:val="0"/>
          <w:color w:val="FFFFFF"/>
          <w:spacing w:val="8"/>
          <w:sz w:val="21"/>
          <w:szCs w:val="21"/>
          <w:bdr w:val="none" w:color="auto" w:sz="0" w:space="0"/>
          <w:shd w:val="clear" w:fill="FFFFFF"/>
          <w:vertAlign w:val="baseline"/>
        </w:rPr>
        <w:t>超  然 客 公 众 号</w:t>
      </w:r>
    </w:p>
    <w:p w14:paraId="39E1F52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人未老，天已凉。中秋回乡的高铁票犹在候补，一想到这儿，倦意又浮上了心头。</w:t>
      </w:r>
    </w:p>
    <w:p w14:paraId="65123E3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6.下列对文章相关内容的理解，不正确的一项是 (3分)</w:t>
      </w:r>
      <w:r>
        <w:rPr>
          <w:rFonts w:hint="eastAsia" w:ascii="Microsoft YaHei UI" w:hAnsi="Microsoft YaHei UI" w:eastAsia="Microsoft YaHei UI" w:cs="Microsoft YaHei UI"/>
          <w:i w:val="0"/>
          <w:iCs w:val="0"/>
          <w:caps w:val="0"/>
          <w:spacing w:val="8"/>
          <w:sz w:val="21"/>
          <w:szCs w:val="21"/>
          <w:bdr w:val="none" w:color="auto" w:sz="0" w:space="0"/>
          <w:shd w:val="clear" w:fill="FFFFFF"/>
        </w:rPr>
        <w:drawing>
          <wp:inline distT="0" distB="0" distL="114300" distR="114300">
            <wp:extent cx="1666875" cy="323850"/>
            <wp:effectExtent l="0" t="0" r="8255"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666875" cy="323850"/>
                    </a:xfrm>
                    <a:prstGeom prst="rect">
                      <a:avLst/>
                    </a:prstGeom>
                    <a:noFill/>
                    <a:ln w="9525">
                      <a:noFill/>
                    </a:ln>
                  </pic:spPr>
                </pic:pic>
              </a:graphicData>
            </a:graphic>
          </wp:inline>
        </w:drawing>
      </w:r>
    </w:p>
    <w:p w14:paraId="2E18A1B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A.第二自然段通过鲁迅先生在异空间崩溃的假设、振聋发聩的沉默等表述，传递出对历史人物、文化符号被随意对待的惋惜与无奈，表达对当下评判风气的不满。</w:t>
      </w:r>
    </w:p>
    <w:p w14:paraId="44ED355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B.作者认为“觉醒”需打破认知偏见，实现对自我与他人的公平审视，是一种扎根于现实体验、兼具理性认知与自我反思的深层精神成长。</w:t>
      </w:r>
    </w:p>
    <w:p w14:paraId="5D408A6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C.刘和珍属于“在沉默中爆发”，刘哑佛在中央特科工作则属于“在沉默中坚守”，二人有力佐证了“沉默”的不同价值。</w:t>
      </w:r>
    </w:p>
    <w:p w14:paraId="64F7545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D.收入菲薄能省则省、独爱老街寺庙、不盲从归隐避世等内容，既表现出作者的淳朴、淡泊与安宁，也是对张爱玲“中年论”的反驳。</w:t>
      </w:r>
    </w:p>
    <w:p w14:paraId="34880E1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7.下列对文章艺术特色的分析鉴赏，不正确的一项是 (3分)</w:t>
      </w:r>
    </w:p>
    <w:p w14:paraId="72C3264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A.作者善于从“一声模糊的梦呓”“间或低沉的犬吼”等日常生活细节捕捉生命的本质，可见本文采用了以小见大的写作技巧。</w:t>
      </w:r>
    </w:p>
    <w:p w14:paraId="4BBF8E8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B.文中引用《庄子·齐物论》《记念刘和珍君》等篇目中的文句和部分诗句，让个体叙事与经典深度融合，使文章既有情感温度，又有文化厚度。</w:t>
      </w:r>
    </w:p>
    <w:p w14:paraId="051D5E4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C.本文用“脑回路真是奇葩”“夹带私货”“口嗨”来批判品评历史的乱象，用“花容失色”描写吃素斋时的生活细节，语言灵动、锐利且幽默。</w:t>
      </w:r>
    </w:p>
    <w:p w14:paraId="2B08D5B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D.文章以深夜伫立为起点，层层递进，从个人感知延伸至时代反思，再回归自我观照，让深刻的思想始终扎根于日常生活，避免了空洞的说教。</w:t>
      </w:r>
    </w:p>
    <w:p w14:paraId="32FD9EB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8.文章以“空山松子落”为标题，有何妙处?(4分)</w:t>
      </w:r>
    </w:p>
    <w:p w14:paraId="7867B38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 </w:t>
      </w:r>
    </w:p>
    <w:p w14:paraId="65FFD68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ascii="等线" w:hAnsi="等线" w:eastAsia="等线" w:cs="等线"/>
          <w:i w:val="0"/>
          <w:iCs w:val="0"/>
          <w:caps w:val="0"/>
          <w:spacing w:val="8"/>
          <w:sz w:val="21"/>
          <w:szCs w:val="21"/>
          <w:bdr w:val="none" w:color="auto" w:sz="0" w:space="0"/>
          <w:shd w:val="clear" w:fill="FFFFFF"/>
          <w:vertAlign w:val="baseline"/>
        </w:rPr>
        <w:t> </w:t>
      </w:r>
    </w:p>
    <w:p w14:paraId="008B5E3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9.读书小组要为此文写一则文学短评，提出的关键词是“沉默”，请围绕关键词写出你的短评思路。(6分)</w:t>
      </w:r>
    </w:p>
    <w:p w14:paraId="4D51C3C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 </w:t>
      </w:r>
    </w:p>
    <w:p w14:paraId="5AF1B2E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 </w:t>
      </w:r>
    </w:p>
    <w:p w14:paraId="193490F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(三)阅读Ⅲ(本题共5小题，20分)</w:t>
      </w:r>
    </w:p>
    <w:p w14:paraId="7F470F9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阅读下面的文言文，完成10~14题。</w:t>
      </w:r>
    </w:p>
    <w:p w14:paraId="11107EC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ascii="黑体" w:hAnsi="宋体" w:eastAsia="黑体" w:cs="黑体"/>
          <w:i w:val="0"/>
          <w:iCs w:val="0"/>
          <w:caps w:val="0"/>
          <w:color w:val="000000"/>
          <w:spacing w:val="8"/>
          <w:sz w:val="21"/>
          <w:szCs w:val="21"/>
          <w:bdr w:val="none" w:color="auto" w:sz="0" w:space="0"/>
          <w:shd w:val="clear" w:fill="FFFFFF"/>
          <w:vertAlign w:val="baseline"/>
        </w:rPr>
        <w:t>材料一：</w:t>
      </w:r>
    </w:p>
    <w:p w14:paraId="71A1037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子贡问政。子曰：“足食，足兵，民信之矣。”</w:t>
      </w:r>
      <w:r>
        <w:rPr>
          <w:rFonts w:hint="eastAsia" w:ascii="楷体" w:hAnsi="楷体" w:eastAsia="楷体" w:cs="楷体"/>
          <w:i w:val="0"/>
          <w:iCs w:val="0"/>
          <w:caps w:val="0"/>
          <w:color w:val="000000"/>
          <w:spacing w:val="8"/>
          <w:sz w:val="21"/>
          <w:szCs w:val="21"/>
          <w:u w:val="single"/>
          <w:bdr w:val="none" w:color="auto" w:sz="0" w:space="0"/>
          <w:shd w:val="clear" w:fill="FFFFFF"/>
          <w:vertAlign w:val="baseline"/>
        </w:rPr>
        <w:t>子贡曰：“必不得已而去，于斯三者</w:t>
      </w:r>
      <w:r>
        <w:rPr>
          <w:rFonts w:hint="eastAsia" w:ascii="楷体" w:hAnsi="楷体" w:eastAsia="楷体" w:cs="楷体"/>
          <w:i w:val="0"/>
          <w:iCs w:val="0"/>
          <w:caps w:val="0"/>
          <w:color w:val="000000"/>
          <w:spacing w:val="8"/>
          <w:sz w:val="21"/>
          <w:szCs w:val="21"/>
          <w:bdr w:val="none" w:color="auto" w:sz="0" w:space="0"/>
          <w:shd w:val="clear" w:fill="FFFFFF"/>
          <w:vertAlign w:val="baseline"/>
        </w:rPr>
        <w:t>何先?”曰：“去兵。”子贡曰：“必不得已而去，于斯二者何先?”曰：“去食。自古皆有死，民无信不立。”</w:t>
      </w:r>
    </w:p>
    <w:p w14:paraId="099C368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夫信，非独匹夫立身之基，更乃邦国存续之本。前文言柳季、子路立信于私，显个人之德；此则言为政者失信于民，则国无立锥之地，彰社稷之要。食可缺，兵可去，唯信不可失。上下俱信，方有舟楫相得之效，此诚诚信之道更深广者也。</w:t>
      </w:r>
      <w:r>
        <w:rPr>
          <w:rFonts w:hint="eastAsia" w:ascii="宋体" w:hAnsi="宋体" w:eastAsia="宋体" w:cs="宋体"/>
          <w:i w:val="0"/>
          <w:iCs w:val="0"/>
          <w:caps w:val="0"/>
          <w:color w:val="FFFFFF"/>
          <w:spacing w:val="8"/>
          <w:sz w:val="21"/>
          <w:szCs w:val="21"/>
          <w:bdr w:val="none" w:color="auto" w:sz="0" w:space="0"/>
          <w:shd w:val="clear" w:fill="FFFFFF"/>
          <w:vertAlign w:val="baseline"/>
        </w:rPr>
        <w:t>超  然 客 公 众 号</w:t>
      </w:r>
    </w:p>
    <w:p w14:paraId="3B21278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(节选自《论语·颜渊》)</w:t>
      </w:r>
    </w:p>
    <w:p w14:paraId="21E3EC1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黑体" w:hAnsi="宋体" w:eastAsia="黑体" w:cs="黑体"/>
          <w:i w:val="0"/>
          <w:iCs w:val="0"/>
          <w:caps w:val="0"/>
          <w:color w:val="000000"/>
          <w:spacing w:val="8"/>
          <w:sz w:val="21"/>
          <w:szCs w:val="21"/>
          <w:bdr w:val="none" w:color="auto" w:sz="0" w:space="0"/>
          <w:shd w:val="clear" w:fill="FFFFFF"/>
          <w:vertAlign w:val="baseline"/>
        </w:rPr>
        <w:t>材料二：</w:t>
      </w:r>
    </w:p>
    <w:p w14:paraId="7378AAA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信者行之基，行者人之本。人非行无以成，行非信无以立。故行之于人，譬济之须舟也；信之于行，犹舟之待楫也。将涉大川，非舟何以济之?欲泛方舟，非楫何以行之?今人虽欲为善而不知立行，犹无舟而济川也；虽欲立行而不知立信，犹无楫而行舟也。昔齐攻鲁，求其岑鼎，鲁侯伪献他鼎而请盟焉。</w:t>
      </w:r>
      <w:r>
        <w:rPr>
          <w:rFonts w:hint="eastAsia" w:ascii="楷体" w:hAnsi="楷体" w:eastAsia="楷体" w:cs="楷体"/>
          <w:i w:val="0"/>
          <w:iCs w:val="0"/>
          <w:caps w:val="0"/>
          <w:color w:val="000000"/>
          <w:spacing w:val="8"/>
          <w:sz w:val="21"/>
          <w:szCs w:val="21"/>
          <w:u w:val="single"/>
          <w:bdr w:val="none" w:color="auto" w:sz="0" w:space="0"/>
          <w:shd w:val="clear" w:fill="FFFFFF"/>
          <w:vertAlign w:val="baseline"/>
        </w:rPr>
        <w:t>齐侯不信，曰：“使柳季云是，则请受之。</w:t>
      </w:r>
      <w:r>
        <w:rPr>
          <w:rFonts w:hint="eastAsia" w:ascii="楷体" w:hAnsi="楷体" w:eastAsia="楷体" w:cs="楷体"/>
          <w:i w:val="0"/>
          <w:iCs w:val="0"/>
          <w:caps w:val="0"/>
          <w:color w:val="000000"/>
          <w:spacing w:val="8"/>
          <w:sz w:val="21"/>
          <w:szCs w:val="21"/>
          <w:bdr w:val="none" w:color="auto" w:sz="0" w:space="0"/>
          <w:shd w:val="clear" w:fill="FFFFFF"/>
          <w:vertAlign w:val="baseline"/>
        </w:rPr>
        <w:t>”鲁使柳季，柳季曰：“君以鼎为国，信者亦臣之国。今欲破臣之国，全君之国，臣所难也。”乃献岑鼎。小邾射[22]以邑奔鲁，曰：“使子路要我，吾无盟矣。”乃使子路。子路辞焉。季康子谓之曰：“千乘之国，不信其盟，而信子之一言，子何辱焉?”子路曰：“彼不臣而济其言，是不义也，由不能矣。”夫柳季、季路，鲁之匹夫，立信于衡门，而声驰于天下。</w:t>
      </w:r>
      <w:r>
        <w:rPr>
          <w:rFonts w:hint="eastAsia" w:ascii="楷体" w:hAnsi="楷体" w:eastAsia="楷体" w:cs="楷体"/>
          <w:i w:val="0"/>
          <w:iCs w:val="0"/>
          <w:caps w:val="0"/>
          <w:color w:val="000000"/>
          <w:spacing w:val="8"/>
          <w:sz w:val="21"/>
          <w:szCs w:val="21"/>
          <w:u w:val="single"/>
          <w:bdr w:val="none" w:color="auto" w:sz="0" w:space="0"/>
          <w:shd w:val="clear" w:fill="FFFFFF"/>
          <w:vertAlign w:val="baseline"/>
        </w:rPr>
        <w:t>故齐邾不信千乘之盟而重二子之言信之为德岂不大哉</w:t>
      </w:r>
      <w:r>
        <w:rPr>
          <w:rFonts w:hint="eastAsia" w:ascii="楷体" w:hAnsi="楷体" w:eastAsia="楷体" w:cs="楷体"/>
          <w:i w:val="0"/>
          <w:iCs w:val="0"/>
          <w:caps w:val="0"/>
          <w:color w:val="000000"/>
          <w:spacing w:val="8"/>
          <w:sz w:val="21"/>
          <w:szCs w:val="21"/>
          <w:bdr w:val="none" w:color="auto" w:sz="0" w:space="0"/>
          <w:shd w:val="clear" w:fill="FFFFFF"/>
          <w:vertAlign w:val="baseline"/>
        </w:rPr>
        <w:t>?故言必如言，信之符也。君子知诚信之为贵，故必诚信而行；君王知诚信之为贵，故以信施救则立，以信荏事则正，以信赏罚则明。由此而言：信之为行，其德大矣！</w:t>
      </w:r>
    </w:p>
    <w:p w14:paraId="4087F96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【注】射：人名，小邾国的大臣。</w:t>
      </w:r>
      <w:r>
        <w:rPr>
          <w:rFonts w:hint="eastAsia" w:ascii="Microsoft YaHei UI" w:hAnsi="Microsoft YaHei UI" w:eastAsia="Microsoft YaHei UI" w:cs="Microsoft YaHei UI"/>
          <w:i w:val="0"/>
          <w:iCs w:val="0"/>
          <w:caps w:val="0"/>
          <w:spacing w:val="8"/>
          <w:sz w:val="21"/>
          <w:szCs w:val="21"/>
          <w:bdr w:val="none" w:color="auto" w:sz="0" w:space="0"/>
          <w:shd w:val="clear" w:fill="FFFFFF"/>
        </w:rPr>
        <w:drawing>
          <wp:inline distT="0" distB="0" distL="114300" distR="114300">
            <wp:extent cx="2343150" cy="314325"/>
            <wp:effectExtent l="0" t="0" r="0" b="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5"/>
                    <a:stretch>
                      <a:fillRect/>
                    </a:stretch>
                  </pic:blipFill>
                  <pic:spPr>
                    <a:xfrm>
                      <a:off x="0" y="0"/>
                      <a:ext cx="2343150" cy="314325"/>
                    </a:xfrm>
                    <a:prstGeom prst="rect">
                      <a:avLst/>
                    </a:prstGeom>
                    <a:noFill/>
                    <a:ln w="9525">
                      <a:noFill/>
                    </a:ln>
                  </pic:spPr>
                </pic:pic>
              </a:graphicData>
            </a:graphic>
          </wp:inline>
        </w:drawing>
      </w:r>
    </w:p>
    <w:p w14:paraId="52DB8F2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10.材料二画波浪线的部分有三处需要断句，请将需断句处的答案标号写在答题卡上，每写对一处给1分，答案超过三处不给分。(3分)</w:t>
      </w:r>
    </w:p>
    <w:p w14:paraId="0D96E3D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故齐邾不信A千乘之盟B而重C二子之言D信之E为德F岂不大哉</w:t>
      </w:r>
    </w:p>
    <w:p w14:paraId="35C1520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11.下列对材料中加点的词语及相关内容的解说，不正确的一项是 (3分)</w:t>
      </w:r>
    </w:p>
    <w:p w14:paraId="3124B49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A.乃，是，与《师说》“今其智乃反不能及”中的“乃”意思不同。</w:t>
      </w:r>
    </w:p>
    <w:p w14:paraId="3D0C7CD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B.信，动词，讲信用，与《谏太宗十思疏》“信者效其忠”的“信”用法不同。</w:t>
      </w:r>
    </w:p>
    <w:p w14:paraId="1608B8D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C.济，渡河，与《烛之武退秦师》“朝济而夕设版焉”的“济”意思相同。</w:t>
      </w:r>
    </w:p>
    <w:p w14:paraId="0B143BA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D.要，邀请，与《鸿门宴》“张良出，要项伯”的“要”意思相同。</w:t>
      </w:r>
    </w:p>
    <w:p w14:paraId="5EA21A4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12.下列对材料有关内容的概述，不正确的一项是 (3分)</w:t>
      </w:r>
    </w:p>
    <w:p w14:paraId="526FD11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A.孔子认为治理国家需 “足食、足兵、民信”，而这三者中“民信”最重要，因“民无信不立”，凸显诚信是邦国存续的关键。</w:t>
      </w:r>
    </w:p>
    <w:p w14:paraId="5313FB5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B.柳季之所以断然拒绝鲁侯让其谎称假鼎为岑鼎的要求，是因他将诚信视为自身之宝，不愿为成全君主而破坏自己的诚信原则。</w:t>
      </w:r>
    </w:p>
    <w:p w14:paraId="46C9E8F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C.子路基于小邾射对他的信任胜于千乘之国，在季康子劝其前去游说时，以“不义”为由推辞，体现了他对诚信的坚守。</w:t>
      </w:r>
    </w:p>
    <w:p w14:paraId="2688AF8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D.两则材料均围绕“诚信”展开，材料一从为政者角度来谈诚信之于立国的重要性，材料二则从个人角度来谈诚信的重要性。</w:t>
      </w:r>
    </w:p>
    <w:p w14:paraId="54C0FA0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13.把材料中画横线的句子翻译成现代汉语。(8分)</w:t>
      </w:r>
    </w:p>
    <w:p w14:paraId="03D52E1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(1)子贡曰：“必不得已而去，于斯三者何先?”</w:t>
      </w:r>
    </w:p>
    <w:p w14:paraId="6CCBFF3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 </w:t>
      </w:r>
    </w:p>
    <w:p w14:paraId="1F6FF1E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(2)齐侯不信，曰：“使柳季云是，则请受之。”</w:t>
      </w:r>
    </w:p>
    <w:p w14:paraId="65B9E3C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 </w:t>
      </w:r>
    </w:p>
    <w:p w14:paraId="6DDD930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14.下列材料是否可以作为材料二的论据?请结合本文内容，简要说明理由。(3分)</w:t>
      </w:r>
    </w:p>
    <w:p w14:paraId="6B97BB6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秦孝公使商鞅攻魏，魏遣公子昂逆而拒之。鞅谓昂曰：“昔鞅与公子善，今俱为两国将，不忍攻，愿一饮燕休二师。”公子许焉，遂与之会。鞅伏甲虏之，击破魏军。及惠王即位，疑其行诈，遂车裂于市。夫商鞅，秦之贵臣，名重于海内，贪诈伪之小功，失诚信之大义，一为不信，终身取尤，卒至屠灭，为天下笑。</w:t>
      </w:r>
    </w:p>
    <w:p w14:paraId="0743C1B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 </w:t>
      </w:r>
    </w:p>
    <w:p w14:paraId="26B81F8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vertAlign w:val="baseline"/>
        </w:rPr>
        <w:t> </w:t>
      </w:r>
    </w:p>
    <w:p w14:paraId="03DD292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(四)阅读IV (本题共2小题,9分)</w:t>
      </w:r>
    </w:p>
    <w:p w14:paraId="5886115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阅读下面这首宋诗，完成15~16题。</w:t>
      </w:r>
    </w:p>
    <w:p w14:paraId="2BD5A76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Microsoft YaHei UI" w:hAnsi="Microsoft YaHei UI" w:eastAsia="Microsoft YaHei UI" w:cs="Microsoft YaHei UI"/>
          <w:i w:val="0"/>
          <w:iCs w:val="0"/>
          <w:caps w:val="0"/>
          <w:spacing w:val="8"/>
          <w:sz w:val="21"/>
          <w:szCs w:val="21"/>
        </w:rPr>
      </w:pPr>
      <w:r>
        <w:rPr>
          <w:rFonts w:hint="eastAsia" w:ascii="黑体" w:hAnsi="宋体" w:eastAsia="黑体" w:cs="黑体"/>
          <w:i w:val="0"/>
          <w:iCs w:val="0"/>
          <w:caps w:val="0"/>
          <w:color w:val="000000"/>
          <w:spacing w:val="8"/>
          <w:sz w:val="21"/>
          <w:szCs w:val="21"/>
          <w:bdr w:val="none" w:color="auto" w:sz="0" w:space="0"/>
          <w:shd w:val="clear" w:fill="FFFFFF"/>
          <w:vertAlign w:val="baseline"/>
        </w:rPr>
        <w:t>书愤 (其五)</w:t>
      </w:r>
    </w:p>
    <w:p w14:paraId="5CAB623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陆游</w:t>
      </w:r>
    </w:p>
    <w:p w14:paraId="6611EAE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清汴①逶迤贯旧京，宫墙春草几番生。</w:t>
      </w:r>
    </w:p>
    <w:p w14:paraId="6FE6E7A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剖心莫写孤臣愤，抉眼②终看此虏平。</w:t>
      </w:r>
    </w:p>
    <w:p w14:paraId="519DB8A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天地固将容小丑，犬羊自惯渎齐盟①。</w:t>
      </w:r>
    </w:p>
    <w:p w14:paraId="08B3CA7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蓬窗老抱横行略，未敢随人说弭兵⑨。</w:t>
      </w:r>
    </w:p>
    <w:p w14:paraId="165E105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注]①清汴：指汴河，北宋时为都城汴京的重要水道。②抉眼：春秋时期伍子胥忠而被谗，死前曾说“抉吾眼县吴东门之上，以观越寇之入灭吴也”。③齐盟：指宋金之间订立的盟约，金人多次撕毁盟约，南下侵扰。④弭兵：指停止战争议和，当时南宋朝廷中主和派势力庞大。</w:t>
      </w:r>
      <w:r>
        <w:rPr>
          <w:rFonts w:hint="eastAsia" w:ascii="宋体" w:hAnsi="宋体" w:eastAsia="宋体" w:cs="宋体"/>
          <w:i w:val="0"/>
          <w:iCs w:val="0"/>
          <w:caps w:val="0"/>
          <w:color w:val="FFFFFF"/>
          <w:spacing w:val="8"/>
          <w:sz w:val="21"/>
          <w:szCs w:val="21"/>
          <w:bdr w:val="none" w:color="auto" w:sz="0" w:space="0"/>
          <w:shd w:val="clear" w:fill="FFFFFF"/>
          <w:vertAlign w:val="baseline"/>
        </w:rPr>
        <w:t>超  然 客 公 众 号</w:t>
      </w:r>
    </w:p>
    <w:p w14:paraId="76D6440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15.下列对这首诗的理解和赏析，不正确的一项是 (3分)</w:t>
      </w:r>
    </w:p>
    <w:p w14:paraId="4EAC047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A.首联中的“旧京”“宫墙春草”点明了江山易主、汴京衰败的现状， “几番生”暗含时光流逝的慨叹、故土难收的渺茫。</w:t>
      </w:r>
    </w:p>
    <w:p w14:paraId="6A9B052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B.颔联化用伍子胥的典故，言简义丰，委婉地表达了诗人内心的悲愤与收复失地的决心，情感浓烈，富有感染力。</w:t>
      </w:r>
    </w:p>
    <w:p w14:paraId="605A317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C.颈联中的“小丑”“犬羊”分指南宋昏聩无能的统治阶级和野蛮贪婪的金人，可见诗人对时局的深刻洞察与批判。</w:t>
      </w:r>
    </w:p>
    <w:p w14:paraId="105455F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D.尾联中，诗人生活的窘迫与从未放弃收复河山的理想形成强烈的反差，彰显了他“位卑不敢忘忧国”的永恒初心。</w:t>
      </w:r>
    </w:p>
    <w:p w14:paraId="7FC3538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16.此诗与杜甫的《登高》均具有“沉郁”风格，但其具体体现有所不同，请结合相关诗句简要分析。(6分)</w:t>
      </w:r>
    </w:p>
    <w:p w14:paraId="291F819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 </w:t>
      </w:r>
    </w:p>
    <w:p w14:paraId="4A139DB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 </w:t>
      </w:r>
    </w:p>
    <w:p w14:paraId="10E8C3A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黑体" w:hAnsi="宋体" w:eastAsia="黑体" w:cs="黑体"/>
          <w:i w:val="0"/>
          <w:iCs w:val="0"/>
          <w:caps w:val="0"/>
          <w:color w:val="000000"/>
          <w:spacing w:val="8"/>
          <w:sz w:val="21"/>
          <w:szCs w:val="21"/>
          <w:bdr w:val="none" w:color="auto" w:sz="0" w:space="0"/>
          <w:shd w:val="clear" w:fill="FFFFFF"/>
          <w:vertAlign w:val="baseline"/>
        </w:rPr>
        <w:t>二、名句名篇默写 (本题共1小题，6分)</w:t>
      </w:r>
    </w:p>
    <w:p w14:paraId="7A13396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17.补写出下列句子中的空缺部分。(6分)</w:t>
      </w:r>
    </w:p>
    <w:p w14:paraId="1415E37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(1)《短歌行》中，曹操化用《诗经·郑风》的诗句，以“，”两句，借写对恋人的思念来表达渴慕贤才之意，拓宽了诗句的内涵。</w:t>
      </w:r>
    </w:p>
    <w:p w14:paraId="202C28D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(2)在学校“历史人物与文化传承”的研讨活动中，赵明同学引用苏轼《赤壁赋》中的“，”两句，追忆曹操当年叱咤风云的雄姿。</w:t>
      </w:r>
    </w:p>
    <w:p w14:paraId="1E36218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(3)张孝祥《念奴娇·过洞庭》中的“</w:t>
      </w:r>
      <w:r>
        <w:rPr>
          <w:rFonts w:hint="eastAsia" w:ascii="宋体" w:hAnsi="宋体" w:eastAsia="宋体" w:cs="宋体"/>
          <w:i w:val="0"/>
          <w:iCs w:val="0"/>
          <w:caps w:val="0"/>
          <w:color w:val="000000"/>
          <w:spacing w:val="8"/>
          <w:sz w:val="21"/>
          <w:szCs w:val="21"/>
          <w:u w:val="single"/>
          <w:bdr w:val="none" w:color="auto" w:sz="0" w:space="0"/>
          <w:shd w:val="clear" w:fill="FFFFFF"/>
          <w:vertAlign w:val="baseline"/>
        </w:rPr>
        <w:t> ， </w:t>
      </w:r>
      <w:r>
        <w:rPr>
          <w:rFonts w:hint="eastAsia" w:ascii="宋体" w:hAnsi="宋体" w:eastAsia="宋体" w:cs="宋体"/>
          <w:i w:val="0"/>
          <w:iCs w:val="0"/>
          <w:caps w:val="0"/>
          <w:color w:val="000000"/>
          <w:spacing w:val="8"/>
          <w:sz w:val="21"/>
          <w:szCs w:val="21"/>
          <w:bdr w:val="none" w:color="auto" w:sz="0" w:space="0"/>
          <w:shd w:val="clear" w:fill="FFFFFF"/>
          <w:vertAlign w:val="baseline"/>
        </w:rPr>
        <w:t>”两句，将洞庭湖的广阔与自身扁舟的渺小进行对比，展现出天人合一的空灵意境。</w:t>
      </w:r>
    </w:p>
    <w:p w14:paraId="743C306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黑体" w:hAnsi="宋体" w:eastAsia="黑体" w:cs="黑体"/>
          <w:i w:val="0"/>
          <w:iCs w:val="0"/>
          <w:caps w:val="0"/>
          <w:color w:val="000000"/>
          <w:spacing w:val="8"/>
          <w:sz w:val="21"/>
          <w:szCs w:val="21"/>
          <w:bdr w:val="none" w:color="auto" w:sz="0" w:space="0"/>
          <w:shd w:val="clear" w:fill="FFFFFF"/>
          <w:vertAlign w:val="baseline"/>
        </w:rPr>
        <w:t>三、语言文字运用(本题共5小题，20分)</w:t>
      </w:r>
    </w:p>
    <w:p w14:paraId="2253F39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阅读下面的文字，完成18~22题。</w:t>
      </w:r>
    </w:p>
    <w:p w14:paraId="5C99C0C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从较长的历史周期看，技术的跨越式发展、工具的颠覆式创新，往往能增进人类福祉，同时</w:t>
      </w:r>
      <w:r>
        <w:rPr>
          <w:rFonts w:hint="eastAsia" w:ascii="楷体" w:hAnsi="楷体" w:eastAsia="楷体" w:cs="楷体"/>
          <w:i w:val="0"/>
          <w:iCs w:val="0"/>
          <w:caps w:val="0"/>
          <w:color w:val="000000"/>
          <w:spacing w:val="8"/>
          <w:sz w:val="21"/>
          <w:szCs w:val="21"/>
          <w:u w:val="single"/>
          <w:bdr w:val="none" w:color="auto" w:sz="0" w:space="0"/>
          <w:shd w:val="clear" w:fill="FFFFFF"/>
          <w:vertAlign w:val="baseline"/>
        </w:rPr>
        <w:t> A</w:t>
      </w:r>
      <w:r>
        <w:rPr>
          <w:rFonts w:hint="eastAsia" w:ascii="楷体" w:hAnsi="楷体" w:eastAsia="楷体" w:cs="楷体"/>
          <w:i w:val="0"/>
          <w:iCs w:val="0"/>
          <w:caps w:val="0"/>
          <w:color w:val="000000"/>
          <w:spacing w:val="8"/>
          <w:sz w:val="21"/>
          <w:szCs w:val="21"/>
          <w:bdr w:val="none" w:color="auto" w:sz="0" w:space="0"/>
          <w:shd w:val="clear" w:fill="FFFFFF"/>
          <w:vertAlign w:val="baseline"/>
        </w:rPr>
        <w:t>。人工智能也不例外。一些极端案例提醒我们，在推动技术发展的过程中，要审慎评估其社会影响，确保技术向善。现实中，人工智能代写毕业论文和年终总结的案例已经出现。人们不禁担忧，高歌猛进的人工智能，有没有可能化身侵犯个人隐私的帮凶，或是成为实施诈骗犯罪的廉价工具?这呼唤我们从法律、道德和社会治理的角度来未雨绸缪，采取行动。</w:t>
      </w:r>
      <w:r>
        <w:rPr>
          <w:rFonts w:hint="eastAsia" w:ascii="宋体" w:hAnsi="宋体" w:eastAsia="宋体" w:cs="宋体"/>
          <w:i w:val="0"/>
          <w:iCs w:val="0"/>
          <w:caps w:val="0"/>
          <w:color w:val="FFFFFF"/>
          <w:spacing w:val="8"/>
          <w:sz w:val="21"/>
          <w:szCs w:val="21"/>
          <w:bdr w:val="none" w:color="auto" w:sz="0" w:space="0"/>
          <w:shd w:val="clear" w:fill="FFFFFF"/>
          <w:vertAlign w:val="baseline"/>
        </w:rPr>
        <w:t>超  然 客 公 众 号</w:t>
      </w:r>
    </w:p>
    <w:p w14:paraId="1A34297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目前，</w:t>
      </w:r>
      <w:r>
        <w:rPr>
          <w:rFonts w:hint="eastAsia" w:ascii="楷体" w:hAnsi="楷体" w:eastAsia="楷体" w:cs="楷体"/>
          <w:i w:val="0"/>
          <w:iCs w:val="0"/>
          <w:caps w:val="0"/>
          <w:color w:val="000000"/>
          <w:spacing w:val="8"/>
          <w:sz w:val="21"/>
          <w:szCs w:val="21"/>
          <w:u w:val="single"/>
          <w:bdr w:val="none" w:color="auto" w:sz="0" w:space="0"/>
          <w:shd w:val="clear" w:fill="FFFFFF"/>
          <w:vertAlign w:val="baseline"/>
        </w:rPr>
        <w:t>①人工智能在很多方面足以与人类大脑媲美，②虽然仍不能从价值上准确分辨是非</w:t>
      </w:r>
      <w:r>
        <w:rPr>
          <w:rFonts w:hint="eastAsia" w:ascii="楷体" w:hAnsi="楷体" w:eastAsia="楷体" w:cs="楷体"/>
          <w:i w:val="0"/>
          <w:iCs w:val="0"/>
          <w:caps w:val="0"/>
          <w:color w:val="000000"/>
          <w:spacing w:val="8"/>
          <w:sz w:val="21"/>
          <w:szCs w:val="21"/>
          <w:bdr w:val="none" w:color="auto" w:sz="0" w:space="0"/>
          <w:shd w:val="clear" w:fill="FFFFFF"/>
          <w:vertAlign w:val="baseline"/>
        </w:rPr>
        <w:t>，③</w:t>
      </w:r>
      <w:r>
        <w:rPr>
          <w:rFonts w:hint="eastAsia" w:ascii="楷体" w:hAnsi="楷体" w:eastAsia="楷体" w:cs="楷体"/>
          <w:i w:val="0"/>
          <w:iCs w:val="0"/>
          <w:caps w:val="0"/>
          <w:color w:val="000000"/>
          <w:spacing w:val="8"/>
          <w:sz w:val="21"/>
          <w:szCs w:val="21"/>
          <w:u w:val="single"/>
          <w:bdr w:val="none" w:color="auto" w:sz="0" w:space="0"/>
          <w:shd w:val="clear" w:fill="FFFFFF"/>
          <w:vertAlign w:val="baseline"/>
        </w:rPr>
        <w:t>这意味着，有必要从多个方面加大对人工智能的监管和规</w:t>
      </w:r>
      <w:r>
        <w:rPr>
          <w:rFonts w:hint="eastAsia" w:ascii="楷体" w:hAnsi="楷体" w:eastAsia="楷体" w:cs="楷体"/>
          <w:i w:val="0"/>
          <w:iCs w:val="0"/>
          <w:caps w:val="0"/>
          <w:color w:val="000000"/>
          <w:spacing w:val="8"/>
          <w:sz w:val="21"/>
          <w:szCs w:val="21"/>
          <w:bdr w:val="none" w:color="auto" w:sz="0" w:space="0"/>
          <w:shd w:val="clear" w:fill="FFFFFF"/>
          <w:vertAlign w:val="baseline"/>
        </w:rPr>
        <w:t>范。</w:t>
      </w:r>
      <w:r>
        <w:rPr>
          <w:rFonts w:hint="eastAsia" w:ascii="楷体" w:hAnsi="楷体" w:eastAsia="楷体" w:cs="楷体"/>
          <w:i w:val="0"/>
          <w:iCs w:val="0"/>
          <w:caps w:val="0"/>
          <w:color w:val="000000"/>
          <w:spacing w:val="8"/>
          <w:sz w:val="21"/>
          <w:szCs w:val="21"/>
          <w:u w:val="single"/>
          <w:bdr w:val="none" w:color="auto" w:sz="0" w:space="0"/>
          <w:shd w:val="clear" w:fill="FFFFFF"/>
          <w:vertAlign w:val="baseline"/>
        </w:rPr>
        <w:t>④近年来，包括我国在内的多个国家出台人工智能发展规划、管理办法和监管原则，⑤正是为了确保技术真正地造福社会，服务于人</w:t>
      </w:r>
      <w:r>
        <w:rPr>
          <w:rFonts w:hint="eastAsia" w:ascii="楷体" w:hAnsi="楷体" w:eastAsia="楷体" w:cs="楷体"/>
          <w:i w:val="0"/>
          <w:iCs w:val="0"/>
          <w:caps w:val="0"/>
          <w:color w:val="000000"/>
          <w:spacing w:val="8"/>
          <w:sz w:val="21"/>
          <w:szCs w:val="21"/>
          <w:bdr w:val="none" w:color="auto" w:sz="0" w:space="0"/>
          <w:shd w:val="clear" w:fill="FFFFFF"/>
          <w:vertAlign w:val="baseline"/>
        </w:rPr>
        <w:t>。人工智能代劳得越来越多，变得越来越有智慧，</w:t>
      </w:r>
      <w:r>
        <w:rPr>
          <w:rFonts w:hint="eastAsia" w:ascii="楷体" w:hAnsi="楷体" w:eastAsia="楷体" w:cs="楷体"/>
          <w:i w:val="0"/>
          <w:iCs w:val="0"/>
          <w:caps w:val="0"/>
          <w:color w:val="000000"/>
          <w:spacing w:val="8"/>
          <w:sz w:val="21"/>
          <w:szCs w:val="21"/>
          <w:u w:val="single"/>
          <w:bdr w:val="none" w:color="auto" w:sz="0" w:space="0"/>
          <w:shd w:val="clear" w:fill="FFFFFF"/>
          <w:vertAlign w:val="baseline"/>
        </w:rPr>
        <w:t>B </w:t>
      </w:r>
      <w:r>
        <w:rPr>
          <w:rFonts w:hint="eastAsia" w:ascii="楷体" w:hAnsi="楷体" w:eastAsia="楷体" w:cs="楷体"/>
          <w:i w:val="0"/>
          <w:iCs w:val="0"/>
          <w:caps w:val="0"/>
          <w:color w:val="000000"/>
          <w:spacing w:val="8"/>
          <w:sz w:val="21"/>
          <w:szCs w:val="21"/>
          <w:bdr w:val="none" w:color="auto" w:sz="0" w:space="0"/>
          <w:shd w:val="clear" w:fill="FFFFFF"/>
          <w:vertAlign w:val="baseline"/>
        </w:rPr>
        <w:t>，确保它始终是“朋友”。</w:t>
      </w:r>
    </w:p>
    <w:p w14:paraId="59D7797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18.请在文中画横线处补写恰当的语句，使整段文字语意完整连贯，内容贴切，逻辑严密，每处不超过 12个字。(4分)</w:t>
      </w:r>
    </w:p>
    <w:p w14:paraId="594A934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 </w:t>
      </w:r>
    </w:p>
    <w:p w14:paraId="0E2D9D2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19.材料第一段中加点的成语可否换成“防微杜渐”?请阐述你的理由。(3分)</w:t>
      </w:r>
    </w:p>
    <w:p w14:paraId="6A11E21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 </w:t>
      </w:r>
    </w:p>
    <w:p w14:paraId="73195EF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20.材料第二段标序号的部分有三处表述不当，请指出序号并做修改，使语言准确流畅，逻辑严密。可少量增删词语，不得改变原意。(6分)</w:t>
      </w:r>
    </w:p>
    <w:p w14:paraId="0E92A91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 </w:t>
      </w:r>
    </w:p>
    <w:p w14:paraId="539412E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 </w:t>
      </w:r>
    </w:p>
    <w:p w14:paraId="540B709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21.下列各句中的引号，和文中引号作用相同的一项是 (3分)</w:t>
      </w:r>
    </w:p>
    <w:p w14:paraId="75A90FA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A.1964年7月5日， “泥腿子专家”袁隆平又走进了安江农校的稻田。</w:t>
      </w:r>
    </w:p>
    <w:p w14:paraId="2F8FAAF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B.今天的“匠”，已成为心思巧妙、技艺精湛、造诣高深的代名词。</w:t>
      </w:r>
    </w:p>
    <w:p w14:paraId="743899E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C.在《诗经》里就有“如鸟斯革，如翚斯飞”的句子来歌颂像翼舒展的屋顶和出檐。</w:t>
      </w:r>
    </w:p>
    <w:p w14:paraId="61258AF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D.还有几位“大师”们捧着几张古画和新画，在欧洲各国一路的挂过去。</w:t>
      </w:r>
    </w:p>
    <w:p w14:paraId="589A7E5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22.班级围绕“人工智能伦理与安全”话题举行了线上班会，请围绕此话题，结合上面的材料为同学们提一条建议。(4分)</w:t>
      </w:r>
    </w:p>
    <w:p w14:paraId="631B40B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 </w:t>
      </w:r>
    </w:p>
    <w:p w14:paraId="7720E75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 </w:t>
      </w:r>
    </w:p>
    <w:p w14:paraId="4DE8945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黑体" w:hAnsi="宋体" w:eastAsia="黑体" w:cs="黑体"/>
          <w:i w:val="0"/>
          <w:iCs w:val="0"/>
          <w:caps w:val="0"/>
          <w:color w:val="000000"/>
          <w:spacing w:val="8"/>
          <w:sz w:val="21"/>
          <w:szCs w:val="21"/>
          <w:bdr w:val="none" w:color="auto" w:sz="0" w:space="0"/>
          <w:shd w:val="clear" w:fill="FFFFFF"/>
          <w:vertAlign w:val="baseline"/>
        </w:rPr>
        <w:t>四、写作(60分)</w:t>
      </w:r>
    </w:p>
    <w:p w14:paraId="01BB67C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23.阅读下面的材料，根据要求写作。(60分)</w:t>
      </w:r>
    </w:p>
    <w:p w14:paraId="10A79AF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利之中取大，害之中取小。———《墨子·大取》</w:t>
      </w:r>
    </w:p>
    <w:p w14:paraId="69872E7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少则得，多则惑。——《道德经》</w:t>
      </w:r>
    </w:p>
    <w:p w14:paraId="5E00E4B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以上材料引发了你怎样的联想和思考?请写一篇文章。</w:t>
      </w:r>
    </w:p>
    <w:p w14:paraId="3A0C54F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要求：选准角度，确定立意，明确文体，自拟标题；不要套作，不得抄袭；不得泄露个人信息；不少于800字。</w:t>
      </w:r>
    </w:p>
    <w:p w14:paraId="392852D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0"/>
        <w:jc w:val="both"/>
        <w:rPr>
          <w:rFonts w:hint="eastAsia" w:ascii="Microsoft YaHei UI" w:hAnsi="Microsoft YaHei UI" w:eastAsia="Microsoft YaHei UI" w:cs="Microsoft YaHei UI"/>
          <w:i w:val="0"/>
          <w:iCs w:val="0"/>
          <w:caps w:val="0"/>
          <w:spacing w:val="8"/>
          <w:sz w:val="21"/>
          <w:szCs w:val="21"/>
        </w:rPr>
      </w:pPr>
    </w:p>
    <w:p w14:paraId="766A6BB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0"/>
        <w:jc w:val="both"/>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 </w:t>
      </w:r>
    </w:p>
    <w:p w14:paraId="7DD5265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0"/>
        <w:jc w:val="center"/>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b/>
          <w:bCs/>
          <w:i w:val="0"/>
          <w:iCs w:val="0"/>
          <w:caps w:val="0"/>
          <w:spacing w:val="8"/>
          <w:sz w:val="21"/>
          <w:szCs w:val="21"/>
          <w:bdr w:val="none" w:color="auto" w:sz="0" w:space="0"/>
          <w:shd w:val="clear" w:fill="FFFFFF"/>
          <w:vertAlign w:val="baseline"/>
        </w:rPr>
        <w:t>参考答案</w:t>
      </w:r>
    </w:p>
    <w:p w14:paraId="7897A6C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 一、阅读（70分）</w:t>
      </w:r>
    </w:p>
    <w:p w14:paraId="61B2C75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（一）阅读Ⅰ（本题共5小题，19分）</w:t>
      </w:r>
    </w:p>
    <w:p w14:paraId="5BA9D19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 1. D（材料二第四段明确“谷子改造大赛”属于“伦理治理机制”范畴，并非“法律与伦理双向治理”，选项混淆概念。）</w:t>
      </w:r>
    </w:p>
    <w:p w14:paraId="46EB2FA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2. C（材料二从 “培育价值认知”“推动圈层破壁”“加强制度规约” 三方面提出策略，三者是并列关系。）</w:t>
      </w:r>
    </w:p>
    <w:p w14:paraId="35DC813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3. C（双重属性既有积极的一面，也有消极的一面，选项C契合双重属性）</w:t>
      </w:r>
    </w:p>
    <w:p w14:paraId="7CD46FD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4. 甲：培育价值认知：形成科学理性的消费观念</w:t>
      </w:r>
    </w:p>
    <w:p w14:paraId="43D93DF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乙：加强制度规约：法律与伦理的双向治理  （每个小标题2分，共4分）</w:t>
      </w:r>
    </w:p>
    <w:p w14:paraId="557B969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5.（1）活动一：举办“IP文化深度解读”讲座，邀请二次元文化研究者分析优质IP的“热血”“梦想”内核，引导学生关注“谷子”背后的文化意义。</w:t>
      </w:r>
      <w:r>
        <w:rPr>
          <w:rFonts w:hint="eastAsia" w:ascii="宋体" w:hAnsi="宋体" w:eastAsia="宋体" w:cs="宋体"/>
          <w:i w:val="0"/>
          <w:iCs w:val="0"/>
          <w:caps w:val="0"/>
          <w:color w:val="FFFFFF"/>
          <w:spacing w:val="8"/>
          <w:sz w:val="21"/>
          <w:szCs w:val="21"/>
          <w:bdr w:val="none" w:color="auto" w:sz="0" w:space="0"/>
          <w:shd w:val="clear" w:fill="FFFFFF"/>
          <w:vertAlign w:val="baseline"/>
        </w:rPr>
        <w:t>超  然 客 公 众 号</w:t>
      </w:r>
    </w:p>
    <w:p w14:paraId="481469A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理由：推动圈层破壁，让学生从“为收藏消费”转向“为文化认同消费”。</w:t>
      </w:r>
    </w:p>
    <w:p w14:paraId="11DA811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（2）活动二： 以“理性消费” 为主题，结合青年 “借钱买周边”的 案例，讲解马克思主义消费观，引导学生根据经济能力规划 “吃谷” 支出。</w:t>
      </w:r>
    </w:p>
    <w:p w14:paraId="24F5F77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理由：培育学生的价值认知，通过案例分析帮助学生树立 “基于实际需求与经济能力” 的消费观念，解决 “过度消费” 问题。  （活动2分，理由1分，共6分）</w:t>
      </w:r>
    </w:p>
    <w:p w14:paraId="19FCCA7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（二）阅读Ⅱ（本题共4小题，16分）</w:t>
      </w:r>
    </w:p>
    <w:p w14:paraId="716A683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6. D（是补充，非反驳）</w:t>
      </w:r>
    </w:p>
    <w:p w14:paraId="01E6A24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7. A（以小见大手法解析不对）</w:t>
      </w:r>
    </w:p>
    <w:p w14:paraId="4706511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8.（1）标题用古典诗句为文章奠定寂静、清幽的基调，让日常场景具有诗性色彩。</w:t>
      </w:r>
    </w:p>
    <w:p w14:paraId="41169FF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（2）以“松子落” 的细微声响暗示 “幽人未眠”，与深夜伫立窗前深思的作者相对应。标题以 “景” 代 “人”，既含蓄表达了作者的 “清醒与敏感”，也让文章的情感有了古典依托，更显厚重。</w:t>
      </w:r>
    </w:p>
    <w:p w14:paraId="50450EB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（3）标题以自然景象隐喻人生道理，让“沉默中的觉醒”这一主旨更显生动、具象，达到以景喻理、情景交融的效果。</w:t>
      </w:r>
      <w:r>
        <w:rPr>
          <w:rFonts w:hint="eastAsia" w:ascii="宋体" w:hAnsi="宋体" w:eastAsia="宋体" w:cs="宋体"/>
          <w:i w:val="0"/>
          <w:iCs w:val="0"/>
          <w:caps w:val="0"/>
          <w:color w:val="FFFFFF"/>
          <w:spacing w:val="8"/>
          <w:sz w:val="21"/>
          <w:szCs w:val="21"/>
          <w:bdr w:val="none" w:color="auto" w:sz="0" w:space="0"/>
          <w:shd w:val="clear" w:fill="FFFFFF"/>
          <w:vertAlign w:val="baseline"/>
        </w:rPr>
        <w:t>超  然 客 公 众 号</w:t>
      </w:r>
    </w:p>
    <w:p w14:paraId="4522A79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9.（1）“沉默” 首先是寂静的夜晚、无人踪迹的山林等物理空间的特质。</w:t>
      </w:r>
    </w:p>
    <w:p w14:paraId="5D6438F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（2）“沉默”中饱含对今人对古人、历史文化、衡量外国的道德标准的轻慢态度等的无奈与不满，作者的失语实则是对生活的理性反思。</w:t>
      </w:r>
    </w:p>
    <w:p w14:paraId="35B217F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（3）沉默，不是逃避与放弃，而是另一种意义上的救赎，是经历生活后的沉淀，是为信仰而做出的坚守与牺牲。</w:t>
      </w:r>
    </w:p>
    <w:p w14:paraId="0182A4F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（三）阅读Ⅲ（本题共5小题，20分）</w:t>
      </w:r>
    </w:p>
    <w:p w14:paraId="5E7FA45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10. B D F  11. D   12. D（材料二也提及）</w:t>
      </w:r>
    </w:p>
    <w:p w14:paraId="3E2F80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13.（1）子贡说：“如果迫不得已要去掉一项，在这三项中先去掉哪一项？” </w:t>
      </w:r>
    </w:p>
    <w:p w14:paraId="7751CC6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（2）齐侯不相信，说：“如果柳季说（鼎）是真品，那么我就接受。”</w:t>
      </w:r>
    </w:p>
    <w:p w14:paraId="7D38EDB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14. 可以。材料二的论点是“信”，强调“诚信”的重要，所给材料讲的是商鞅不讲“信”的后果， 可以作为反面论据。</w:t>
      </w:r>
    </w:p>
    <w:p w14:paraId="1E45A0C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（四）阅读Ⅳ（本题共2小题，9分）</w:t>
      </w:r>
    </w:p>
    <w:p w14:paraId="663EE0D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15. C（二者均指代金人）</w:t>
      </w:r>
    </w:p>
    <w:p w14:paraId="13DC718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16.（1）意象的选择：陆诗“旧京”“宫墙”等衰颓的意象关联国家命运，具有强烈的政治色彩。杜诗“风”“猿”“落木”“霜鬓”等苍凉凄清的意象关联自然和个人境遇，映射个人漂泊、老病的生命状态。</w:t>
      </w:r>
    </w:p>
    <w:p w14:paraId="6937852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（2）情感的基调：陆诗悲愤于故都的沦陷、异族未灭，虽年老仍“横行略”，沉郁中藏有“壮”与“愤”。杜诗“霜鬓”“潦倒”道尽多年的困顿，沉郁中显“衰”。</w:t>
      </w:r>
      <w:r>
        <w:rPr>
          <w:rFonts w:hint="eastAsia" w:ascii="宋体" w:hAnsi="宋体" w:eastAsia="宋体" w:cs="宋体"/>
          <w:i w:val="0"/>
          <w:iCs w:val="0"/>
          <w:caps w:val="0"/>
          <w:color w:val="FFFFFF"/>
          <w:spacing w:val="8"/>
          <w:sz w:val="21"/>
          <w:szCs w:val="21"/>
          <w:bdr w:val="none" w:color="auto" w:sz="0" w:space="0"/>
          <w:shd w:val="clear" w:fill="FFFFFF"/>
          <w:vertAlign w:val="baseline"/>
        </w:rPr>
        <w:t>超  然 客 公 众 号</w:t>
      </w:r>
    </w:p>
    <w:p w14:paraId="533675D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（3）情感的表达：陆诗“剖心”“抉眼”直抒悲愤，沉郁的情感激烈直白；杜诗将悲苦融入景物与叙事中，沉郁中透着内敛。</w:t>
      </w:r>
    </w:p>
    <w:p w14:paraId="33C0BA8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二、名句名篇默写（本题共1小题，6分）</w:t>
      </w:r>
    </w:p>
    <w:p w14:paraId="738576A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17．（1）青青子衿，悠悠我心（2）酾酒临江，横槊赋诗 （3）玉鉴琼田三万顷，着我扁舟一叶</w:t>
      </w:r>
    </w:p>
    <w:p w14:paraId="4E4E100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三、语言文字运用（（本题共5小题，20分）</w:t>
      </w:r>
    </w:p>
    <w:p w14:paraId="7B6964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18. A. 也会带来风险和挑战 B. 我们必须做好防范</w:t>
      </w:r>
    </w:p>
    <w:p w14:paraId="008720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19. 不可。“防微杜渐”强调在问题刚露出苗头时就加以制止，“未雨绸缪”侧重于未发生问题前就做好预防准备。文中讨论的是人工智能发展中可能出现的负面后果，属于对未来风险的预判。此时需要的是提前布局、建立规则的 “未雨绸缪”，而非针对已出现苗头的问题进行制止的 “防微杜渐”。</w:t>
      </w:r>
    </w:p>
    <w:p w14:paraId="4FC51EE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20. 序号②，将“虽然”改为“但是”；序号③，将“加大”改为“加强”（或在句末加上“力度”，与“加大”构成动宾短语）；序号⑤，将“造福社会，服务于人”改为“服务于人，造福社会”。</w:t>
      </w:r>
    </w:p>
    <w:p w14:paraId="4FDDD14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21. A（文段中的引号表特殊含义。A. 表特殊含义 B. 强调 C. 引用 D. 表讽刺或否定）</w:t>
      </w:r>
    </w:p>
    <w:p w14:paraId="1BCD9FE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22. 大家在接触和使用人工智能时，请保持理性，主动防范。不借助其代写作业，守住学业底线；谨慎保护个人信息，不随意泄露隐私，共同守护AI伦理与自身安全。</w:t>
      </w:r>
      <w:r>
        <w:rPr>
          <w:rFonts w:hint="eastAsia" w:ascii="宋体" w:hAnsi="宋体" w:eastAsia="宋体" w:cs="宋体"/>
          <w:i w:val="0"/>
          <w:iCs w:val="0"/>
          <w:caps w:val="0"/>
          <w:color w:val="FFFFFF"/>
          <w:spacing w:val="8"/>
          <w:sz w:val="21"/>
          <w:szCs w:val="21"/>
          <w:bdr w:val="none" w:color="auto" w:sz="0" w:space="0"/>
          <w:shd w:val="clear" w:fill="FFFFFF"/>
          <w:vertAlign w:val="baseline"/>
        </w:rPr>
        <w:t>超  然 客 公 众 号</w:t>
      </w:r>
    </w:p>
    <w:p w14:paraId="5C35339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四、写作（60分）</w:t>
      </w:r>
    </w:p>
    <w:p w14:paraId="6A8E6AF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23. 略，请参照2025年全国Ⅰ卷作文的评分标准。</w:t>
      </w:r>
    </w:p>
    <w:p w14:paraId="5D7799C5">
      <w:pPr>
        <w:keepNext w:val="0"/>
        <w:keepLines w:val="0"/>
        <w:pageBreakBefore w:val="0"/>
        <w:kinsoku/>
        <w:wordWrap/>
        <w:overflowPunct/>
        <w:topLinePunct w:val="0"/>
        <w:autoSpaceDE/>
        <w:autoSpaceDN/>
        <w:bidi w:val="0"/>
        <w:adjustRightInd w:val="0"/>
        <w:snapToGrid w:val="0"/>
        <w:spacing w:line="240" w:lineRule="auto"/>
        <w:rPr>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1D0F92"/>
    <w:rsid w:val="671D0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1</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2025-11-21T01:50:00Z</dcterms:created>
  <dc:creator>李琴</dc:creator>
  <cp:lastModifiedBy>李琴</cp:lastModifiedBy>
  <dcterms:modified xsi:type="dcterms:W3CDTF">2025-11-21T01:52:39Z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399D7E3C7DF246FA90367FCBC9A5CA33_11</vt:lpwstr>
  </property>
  <property fmtid="{D5CDD505-2E9C-101B-9397-08002B2CF9AE}" pid="4" name="KSOTemplateDocerSaveRecord">
    <vt:lpwstr>eyJoZGlkIjoiODM2YjM3MWQ1YmY5ZDlmYTYyYjQ1YTQzNGVlNTMyNzAiLCJ1c2VySWQiOiI0NTY5NTk1ODEifQ==</vt:lpwstr>
  </property>
</Properties>
</file>