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093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center"/>
        <w:rPr>
          <w:rFonts w:ascii="Microsoft YaHei UI" w:hAnsi="Microsoft YaHei UI" w:eastAsia="Microsoft YaHei UI" w:cs="Microsoft YaHei UI"/>
          <w:b/>
          <w:bCs/>
          <w:i w:val="0"/>
          <w:iCs w:val="0"/>
          <w:caps w:val="0"/>
          <w:spacing w:val="8"/>
          <w:sz w:val="28"/>
          <w:szCs w:val="28"/>
        </w:rPr>
      </w:pPr>
      <w:bookmarkStart w:id="0" w:name="_GoBack"/>
      <w:r>
        <w:rPr>
          <w:rFonts w:hint="eastAsia" w:ascii="Microsoft YaHei UI" w:hAnsi="Microsoft YaHei UI" w:eastAsia="Microsoft YaHei UI" w:cs="Microsoft YaHei UI"/>
          <w:b/>
          <w:bCs/>
          <w:i w:val="0"/>
          <w:iCs w:val="0"/>
          <w:caps w:val="0"/>
          <w:spacing w:val="8"/>
          <w:sz w:val="28"/>
          <w:szCs w:val="28"/>
          <w:bdr w:val="none" w:color="auto" w:sz="0" w:space="0"/>
          <w:shd w:val="clear" w:fill="FFFFFF"/>
        </w:rPr>
        <w:t>安徽省江淮十校2026届高三第二次联考语文试题</w:t>
      </w:r>
    </w:p>
    <w:bookmarkEnd w:id="0"/>
    <w:p w14:paraId="68B9E7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注意事项：</w:t>
      </w:r>
    </w:p>
    <w:p w14:paraId="4418BE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1.本试卷满分150分，考试时间150分钟。</w:t>
      </w:r>
    </w:p>
    <w:p w14:paraId="09F02A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2.答卷前，考生务必将自己的姓名和座位号填写在答题卡上。</w:t>
      </w:r>
    </w:p>
    <w:p w14:paraId="563F9F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3.回答选择题时，选出每小题答案后，用铅笔把答题卡对应题目的答案标号涂黑。如需改动，用橡皮擦干净后，再选涂其它答案标号。回答非选择题时，将答案写在答题卡上。写在本试卷上无效。</w:t>
      </w:r>
    </w:p>
    <w:p w14:paraId="6F2092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4.考试结束后，将本试卷和答题卡一并交回。</w:t>
      </w:r>
    </w:p>
    <w:p w14:paraId="25F9F1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vertAlign w:val="baseline"/>
        </w:rPr>
        <w:t>一、阅读(72分)</w:t>
      </w:r>
    </w:p>
    <w:p w14:paraId="6C94BD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仿宋" w:hAnsi="仿宋" w:eastAsia="仿宋" w:cs="仿宋"/>
          <w:i w:val="0"/>
          <w:iCs w:val="0"/>
          <w:caps w:val="0"/>
          <w:color w:val="000000"/>
          <w:spacing w:val="8"/>
          <w:sz w:val="21"/>
          <w:szCs w:val="21"/>
          <w:bdr w:val="none" w:color="auto" w:sz="0" w:space="0"/>
          <w:shd w:val="clear" w:fill="FFFFFF"/>
          <w:vertAlign w:val="baseline"/>
        </w:rPr>
        <w:t>(一)阅读Ⅰ(本题共5小题，19分)</w:t>
      </w:r>
    </w:p>
    <w:p w14:paraId="2ABA2C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阅读下面的文字，完成1~5题。</w:t>
      </w:r>
    </w:p>
    <w:p w14:paraId="22135C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材料一：</w:t>
      </w:r>
    </w:p>
    <w:p w14:paraId="7CAC36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习近平总书记指出，“‘十五五’时期，必须把因地制宜发展新质生产力摆在更加突出的战略位置”。当前，脑机接口创新成果持续涌现，产业加速壮大，正孕育颠覆性突破，已成为科技创新和产业创新深度融合的重要领域。与用于拓展人类肢体能力的蒸汽机、电动机和拓展人类思维能力的计算机、人工智能体不同，脑机接口作为“拓展人脑疆界的革命性技术”，有望为人类突破生理限制提供全新的维度。其对人类生理限制和认知边界的拓展不可避免地会引发一场人机交互革命，尽管指向人机交互终极目标的这场革命才刚刚起步，但已展现出了异常强劲的发展势头。</w:t>
      </w:r>
    </w:p>
    <w:p w14:paraId="5EF6B8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当我们审视“脑机接口”这个精妙的中文译名时，会发现其有两个出处，一是指脑与计算机之间的界面，一是指脑与机器之间的界面。尽管在英文中，二者最初的含义不完全等同；但在中文里，二者统一译作“脑机接口”，既包括脑与计算机的接口，又包括脑与机器的接口。</w:t>
      </w:r>
    </w:p>
    <w:p w14:paraId="255C14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脑-计算机接口”这一术语最早出现在美国计算机科学家雅克·维达尔1973年发表的一篇论文中。维达尔在文中对置于头皮上的电极可以检测到人脑中的诱发反应电信号这一事实进行了探讨，并追问道：“这些可观测到的脑电信号能否作为人与计算机交流的信息载体，或用于控制假体装置或宇宙飞船之类外部设备?”为此，维达尔启动了“脑-计算机接口项目”，成立了“脑-计算机接口实验室”，搭建了“脑-计算机接口系统”，旨在评估“人机对话”中利用脑电信号的可行性与实用性。</w:t>
      </w:r>
    </w:p>
    <w:p w14:paraId="220F90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脑-机器接口”这一术语1985年由美国精神病学家安东尼·约瑟夫最先提出。约瑟夫介绍了一种将假体装置植入人脑以补充人脑功能的创新疗法。他认为要推广这种疗法，需要有将假体与中枢神经系统有效连接起来的“脑-机器接口”。约瑟夫提出，假体通过“脑-机器接口”刺激靶向神经元群的方法，可以是电刺激，也可以是电化学刺激或电光刺激；尽管假体难以精确模拟生理刺激，但精确度比理想技术差很多数量级的设备仍能帮助神经受损的患者。</w:t>
      </w:r>
      <w:r>
        <w:rPr>
          <w:rFonts w:hint="eastAsia" w:ascii="楷体" w:hAnsi="楷体" w:eastAsia="楷体" w:cs="楷体"/>
          <w:i w:val="0"/>
          <w:iCs w:val="0"/>
          <w:caps w:val="0"/>
          <w:color w:val="FFFFFF"/>
          <w:spacing w:val="8"/>
          <w:sz w:val="21"/>
          <w:szCs w:val="21"/>
          <w:bdr w:val="none" w:color="auto" w:sz="0" w:space="0"/>
          <w:shd w:val="clear" w:fill="FFFFFF"/>
          <w:vertAlign w:val="baseline"/>
        </w:rPr>
        <w:t>超然客公众号</w:t>
      </w:r>
    </w:p>
    <w:p w14:paraId="148205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尽管维达尔和约瑟夫提出的“脑-计算机接口”与“脑-机器接口”在信息的传递方向上存在差异，但二者都强调，此类装置需跨越外周神经系统和肌肉实现脑与外部设备之间的直接信息交流。这一点非常重要，并对20世纪90年代后的“脑机接口”概念的形成产生了深刻的影响。但在当时，他们的观点都没有引起广泛关注，更未获得广泛认同。</w:t>
      </w:r>
    </w:p>
    <w:p w14:paraId="09B99D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21世纪初期，学者们要么不加区分地使用“脑-计算机接口”与“脑-机器接口”，要么严格区分这两种表述的用法。面对这种混乱局面，在2013 年召开的第五届国际“脑-计算机接口”会议上，与会者认定“脑-计算机接口”也称作“脑-机器接口”，二者拥有相同的含义，可以互换使用。美国华盛顿大学西雅图分校学者拉杰什·拉奥2013年出版《脑机接口导论》时也指出，“脑-计算机接口”亦即“脑-机器接口”。这是一部介绍脑机接口的入门书籍，对社会影响甚大。自此之后，一些人就不再有意识地区别使用“脑-计算机接口”与“脑-机器接口”，亦即两者都可以直接翻译成“脑机接口”。</w:t>
      </w:r>
    </w:p>
    <w:p w14:paraId="45E77E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但随着脑机接口研究的深入，如今越来越多的人意识到像脑电帽这样的非侵入式脑机接口与将电极植入颅内的侵入式脑机接口存在很大差别，从安全监管与伦理治理的角度出发，最好不要将二者笼统地称为脑机接口。于是，有学者提出，在缺乏更好的术语替代方案的情况下，应恢复对“脑-计算机接口”与“脑-机器接口”的使用区分，建议将非侵入式脑机接口称作“脑-计算机接口”，将侵入式脑机接口称作“脑-机器接口”，以提醒大众和监管者注意技术的不同风险等级。</w:t>
      </w:r>
    </w:p>
    <w:p w14:paraId="1C6757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目前，随着“脑计划”的推进，一批脑机接口设备由基础研究阶段迈入应用研究乃至市场准入阶段。</w:t>
      </w:r>
    </w:p>
    <w:p w14:paraId="048B5A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就国内科技治理而言，政府在激励脑机接口技术创新时，需要注意两种倾向。一是过度泛化对脑机接口的解释。脑机接口成为热门研究领域之后，为了获取更多的政策红利，很多实际上与脑机接口无关的研究也被说成是脑机接口研究，以致脑机接口领域“虚火旺盛”。二是过度窄化对脑机接口的解释。开展脑机接口技术创新，关键是要能够解决医疗、康复、教育、军事等领域的需求问题。在解决问题过程中，不能一开始就对可能的路径设限。因此没有必要把监测、调控对象局限于大脑，也没有必要排斥脑深部电刺之类“控脑”研究。要而言之，要规范、引领脑机接口技术创新，有关部门有必要进一步明确脑机接口的概念内涵与研究边界。</w:t>
      </w:r>
      <w:r>
        <w:rPr>
          <w:rFonts w:hint="eastAsia" w:ascii="楷体" w:hAnsi="楷体" w:eastAsia="楷体" w:cs="楷体"/>
          <w:i w:val="0"/>
          <w:iCs w:val="0"/>
          <w:caps w:val="0"/>
          <w:color w:val="FFFFFF"/>
          <w:spacing w:val="8"/>
          <w:sz w:val="21"/>
          <w:szCs w:val="21"/>
          <w:bdr w:val="none" w:color="auto" w:sz="0" w:space="0"/>
          <w:shd w:val="clear" w:fill="FFFFFF"/>
          <w:vertAlign w:val="baseline"/>
        </w:rPr>
        <w:t>超然客公众号</w:t>
      </w:r>
    </w:p>
    <w:p w14:paraId="601E21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（摘编自周程《脑机接口概念内涵与研究边界的演变》，有删改）</w:t>
      </w:r>
    </w:p>
    <w:p w14:paraId="49E9F5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黑体" w:hAnsi="宋体" w:eastAsia="黑体" w:cs="黑体"/>
          <w:i w:val="0"/>
          <w:iCs w:val="0"/>
          <w:caps w:val="0"/>
          <w:color w:val="000000"/>
          <w:spacing w:val="8"/>
          <w:sz w:val="21"/>
          <w:szCs w:val="21"/>
          <w:bdr w:val="none" w:color="auto" w:sz="0" w:space="0"/>
          <w:shd w:val="clear" w:fill="FFFFFF"/>
          <w:vertAlign w:val="baseline"/>
        </w:rPr>
        <w:t>材料二：</w:t>
      </w:r>
    </w:p>
    <w:p w14:paraId="0A7F11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脑机接口技术涉及的“神经权利”问题，已经成为国际关注的重点问题。所谓“神经权利”，本质上是对个体神经权利应用的规制，是指用户知道自身的神经数据以及这些数据将会被如何使用的权利。伴随脑机接口人体临床试验的获批，其带来的技术普适性与神经权利个性化之间的冲突，将会进一步扭曲用户的自我认同感，模糊人机界限，加剧了技术风险的不确定性，甚至可能侵犯用户的精神隐私权、自由意志权、个人认同权。个体在植入脑机接口设备后，其自主选择权可能会受到侵蚀，接收到的信息可能不是自己主动选择的信息，人们可能分不清楚哪些是自己的想法，哪些信息来源于脑机接口，从而陷入一种“本我非我”的自我怀疑中。另外，对于使用脑机接口技术的用户，设备管理者能够了解到个体全部想法以及生活习惯等隐私信息，预测用户的想法和思维，可能会损害人的尊严，导致使用者成为某种程度上的“透明人”。而这种“智能透明”在算法驱动下呈现的复杂性与交互性，进一步放大了技术滥用的风险，增强了公众对算法的不可靠感受。因此从制度层面建立合理可靠的伦理框架，防止算法偏差带来新的“智能风险”，便显得尤为重要。</w:t>
      </w:r>
    </w:p>
    <w:p w14:paraId="25099C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（摘编自张旺《算法异化视域下的神经权利伦理困境与治理》，有删改）</w:t>
      </w:r>
    </w:p>
    <w:p w14:paraId="7208C1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1.下列对原文内容的理解和分析，正确的一项是(3分)</w:t>
      </w:r>
    </w:p>
    <w:p w14:paraId="15792E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A.“脑-计算机接口”与“脑-机器接口”在诞生之初就拥有相同的技术路径和应用场景。</w:t>
      </w:r>
    </w:p>
    <w:p w14:paraId="133E4C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B.维达尔和约瑟夫的研究在20世纪未能引起广泛关注，是因为其技术构想缺乏可行性。</w:t>
      </w:r>
    </w:p>
    <w:p w14:paraId="02C8CD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C.2013年，第五届国际“脑-计算机接口”会议的认定，解决了相关概念上的所有混乱。</w:t>
      </w:r>
    </w:p>
    <w:p w14:paraId="153DA2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D.脑机接口的研究或将因技术普适性与神经权利个性化之间的冲突，产生科技伦理问题。</w:t>
      </w:r>
    </w:p>
    <w:p w14:paraId="4D90AD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2.根据原文内容，下列说法不正确的一项是(3分)</w:t>
      </w:r>
    </w:p>
    <w:p w14:paraId="0E977E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A.脑机接口技术有望突破人类的生理限制和认知边界，未来必将引发人机交互的革命。</w:t>
      </w:r>
    </w:p>
    <w:p w14:paraId="75FD8F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B.约瑟夫提出的“脑-机器接口”疗法，即使精确度不足，也能对神经受损患者产生帮助。</w:t>
      </w:r>
    </w:p>
    <w:p w14:paraId="5A4671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C.有学者建议用术语区分非侵入式和侵入式脑机接口，主要是为了体现技术先进性的差异。</w:t>
      </w:r>
    </w:p>
    <w:p w14:paraId="210D8E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D.为避免研究方向“过度窄化”，不应将监测对象局限于大脑，也不应排斥某些“控脑”研究。</w:t>
      </w:r>
    </w:p>
    <w:p w14:paraId="4876EA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3.下列选项，最适合作为论据来支撑材料一中“过度泛化”观点的一项是(3分)</w:t>
      </w:r>
    </w:p>
    <w:p w14:paraId="216C9D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A.某研究团队专注于通过头皮脑电信号实现对外部机械臂的精确控制。</w:t>
      </w:r>
    </w:p>
    <w:p w14:paraId="7215C5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B.某公司把为增强健康人群记忆力而开发的药物宣传为脑机接口产品。</w:t>
      </w:r>
    </w:p>
    <w:p w14:paraId="4467C6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C.某实验室在开展脑深部电刺激疗法研究时，没有遵循伦理审查程序。</w:t>
      </w:r>
    </w:p>
    <w:p w14:paraId="4F5211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D.某国在制定脑机接口标准时，广泛征求了相关跨国科研团队的意见。</w:t>
      </w:r>
    </w:p>
    <w:p w14:paraId="3FB25B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4.请简要分析材料一中拉杰什·拉奥的《脑机接口导论》这个例子的作用。(4分)</w:t>
      </w:r>
    </w:p>
    <w:p w14:paraId="377257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 </w:t>
      </w:r>
    </w:p>
    <w:p w14:paraId="08A498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等线" w:hAnsi="等线" w:eastAsia="等线" w:cs="等线"/>
          <w:i w:val="0"/>
          <w:iCs w:val="0"/>
          <w:caps w:val="0"/>
          <w:spacing w:val="8"/>
          <w:sz w:val="21"/>
          <w:szCs w:val="21"/>
          <w:bdr w:val="none" w:color="auto" w:sz="0" w:space="0"/>
          <w:shd w:val="clear" w:fill="FFFFFF"/>
          <w:vertAlign w:val="baseline"/>
        </w:rPr>
        <w:t> </w:t>
      </w:r>
    </w:p>
    <w:p w14:paraId="788860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5.在学校举办的科创辩论赛中，正方认为未来已来，应大胆尝试脑机接口；反方认为应坚持使用“原装大脑”。你更支持哪方观点？请综合两则材料，写出发言要点。(6分)</w:t>
      </w:r>
    </w:p>
    <w:p w14:paraId="236C6A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07D32D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32AC5E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(二)阅读Ⅱ(本题共4小题，16分)</w:t>
      </w:r>
    </w:p>
    <w:p w14:paraId="61D5A5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阅读下面的文字，完成6~9题。</w:t>
      </w:r>
    </w:p>
    <w:p w14:paraId="53F204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钱诗人出狱</w:t>
      </w:r>
    </w:p>
    <w:p w14:paraId="0A97A9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胜利日后的第七天，钱诗人可以出狱了。</w:t>
      </w:r>
    </w:p>
    <w:p w14:paraId="09179D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老三想给钱伯伯开个欢迎会。胜利后，北平一直安安静静，跟平常一样，好像什么也没发生似的。瑞全不喜欢这种安静。</w:t>
      </w:r>
    </w:p>
    <w:p w14:paraId="5472D9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他去跟爷爷商量，爷爷表示同意，催他说：“你得弄点酒来，他喜欢喝两口儿。”</w:t>
      </w:r>
    </w:p>
    <w:p w14:paraId="1E6C9B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瑞全告诉大哥，他们得一道去接钱先生。</w:t>
      </w:r>
    </w:p>
    <w:p w14:paraId="6C1280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老三去通知金三爷，请他和钱少奶奶一起来祁家。他还请了李四妈、程长顺和小羊圈所有的街坊们。他请大家过来跟钱伯伯喝杯酒，邻居们听到这消息，就像当时听到胜利的消息似的，一样开心。宣布胜利的时候，什么庆祝活动也没有，那个时刻什么纪念都没有。现在钱先生出狱了，算是让人们确实感到胜利了。</w:t>
      </w:r>
    </w:p>
    <w:p w14:paraId="618814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金三爷高兴得掉了眼泪，但他对老三的计划不乐意，他认为他的亲家应该先到他家来，再去祁家，但他没敢坚持去争论，因为他知道钱先生能得到释放是祁老三给办的。还有，他心里有愧，这也让他无法跟老三论短长。为了减轻自己的愧疚感，他往祁家跑了七八趟，给韵梅送去招待客人的食物。</w:t>
      </w:r>
    </w:p>
    <w:p w14:paraId="4D7C4C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瑞宣和瑞全把钱先生接了回来。</w:t>
      </w:r>
      <w:r>
        <w:rPr>
          <w:rFonts w:hint="eastAsia" w:ascii="楷体" w:hAnsi="楷体" w:eastAsia="楷体" w:cs="楷体"/>
          <w:i w:val="0"/>
          <w:iCs w:val="0"/>
          <w:caps w:val="0"/>
          <w:color w:val="FFFFFF"/>
          <w:spacing w:val="8"/>
          <w:sz w:val="21"/>
          <w:szCs w:val="21"/>
          <w:bdr w:val="none" w:color="auto" w:sz="0" w:space="0"/>
          <w:shd w:val="clear" w:fill="FFFFFF"/>
          <w:vertAlign w:val="baseline"/>
        </w:rPr>
        <w:t>超然客公众号</w:t>
      </w:r>
    </w:p>
    <w:p w14:paraId="50A8C7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钱先生除了身上的衣服，一无所有。他一手扶着老三的胳膊，另一只手拉着孙子，一瘸一拐走出了狱大门。瑞宣跟在他们身后。</w:t>
      </w:r>
    </w:p>
    <w:p w14:paraId="0C9717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这次入狱受审时，钱先生没有受刑。日本人想让他投降，他拒绝了他们的“好意”，他们就把他的孙子劫持到监狱里来。他们让祖孙俩每天见一面。钱先生明白，日本人是用孩子给自己施加压力：如果他低头投降，孩子就能活命；如果他拒绝，他们就当他的面折磨孩子。他们明白，当他面折磨孩子比折磨他这个当爷爷的更加残酷，也更有效。</w:t>
      </w:r>
    </w:p>
    <w:p w14:paraId="60D383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不过钱先生并不为此伤脑筋。他不发脾气，免得刺激他们折腾孩子，但他也不说投降，为的是让孩子安全。他微笑着接受到来的一切。如果到了他实在不能保护这孩子的时刻，他也无能为力。他绝不投降。战争中多死一个人又如何，就算那是他自己的孙子。</w:t>
      </w:r>
    </w:p>
    <w:p w14:paraId="02012D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孩子刚进监狱时哭闹个没完。第一次被带到钱先生跟前时，他哭得满脸是泪。他踢爷爷的腿，大喊：“我要找我妈，我要找我妈！”</w:t>
      </w:r>
    </w:p>
    <w:p w14:paraId="6BF8B8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钱先生轻轻的拍拍孩子的肩膀，不停地说：“别出声，好孩子，别哭啊。”他不哭不闹了，盯着钱先生，小眼睛忽闪忽闪的眨着。老人笑了，也眨巴眨巴眼睛，这时孩子认出他来了。“你是爷爷！”</w:t>
      </w:r>
    </w:p>
    <w:p w14:paraId="2B02E6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“对，对！我是爷爷。你怎么知道的？”</w:t>
      </w:r>
    </w:p>
    <w:p w14:paraId="08A917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“妈跟我说的。”</w:t>
      </w:r>
    </w:p>
    <w:p w14:paraId="7BB2F7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“哦！”爷孙俩一起眨巴眼。</w:t>
      </w:r>
    </w:p>
    <w:p w14:paraId="575EB3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“爷爷，他们为什么把咱们关在这儿？为什么不让咱们回家？”</w:t>
      </w:r>
    </w:p>
    <w:p w14:paraId="461F5F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“不为什么。”</w:t>
      </w:r>
    </w:p>
    <w:p w14:paraId="15D16F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“为什么不为什么？”</w:t>
      </w:r>
    </w:p>
    <w:p w14:paraId="0C7689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“就是不为什么。”</w:t>
      </w:r>
    </w:p>
    <w:p w14:paraId="3428B9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“哦！”孩子眨眨眼，想了又想，但是想不通。他只能接受爷爷的话，那就是不为什么。</w:t>
      </w:r>
    </w:p>
    <w:p w14:paraId="783BB7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过了几天，这孩子似乎适应了，不再哭闹了。每当带他去见爷爷，他都看上去特别高兴，会说些让爷爷开心的话。他问了爷爷很多很多问题，诸如战争是什么，监狱是什么，日本人是打哪儿来的，日本人为什么来北平等，还问了不少别的问题。爷爷压低嗓门，轻声的解释每个问题。孩子不全明白爷爷说的话，但也只能仔细听着，因为监狱里没有玩具，也没什么事可干。</w:t>
      </w:r>
    </w:p>
    <w:p w14:paraId="278D5C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孙子要爷爷给自己起个名字，他记得他母亲经常跟他说，他的名字得让爷爷起。爷爷在孩子出生前就给他准备好了一个名字：“钱仇”，为钱家报仇。可是现在这孩子就站在他膝下，他觉得不应该让孩子一辈子都背着这么一个痛苦的名字。老人问孩子：“仇这个字怎么样？”</w:t>
      </w:r>
    </w:p>
    <w:p w14:paraId="51CFF9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孙子眨巴着小眼睛，假装思考着。他能想到猫、狗或牛是什么样，可“仇”，“仇”是个什么样子呢？他想不出来，那就是个坏词儿吧。于是他说：“我不想叫这个。”</w:t>
      </w:r>
    </w:p>
    <w:p w14:paraId="4C5D31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爷爷抱歉的说：“好吧，等我想想，我会给你想个好名字。”</w:t>
      </w:r>
    </w:p>
    <w:p w14:paraId="63492F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后来，有一天他说：“叫钱善怎么样？意思是姓钱的正直的人，善良的人。这字取自我教你的《三字经》的第一行。就是那句‘人之初，性本善’。”孩子同意了。</w:t>
      </w:r>
    </w:p>
    <w:p w14:paraId="6EF08A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钱善把这件小事告诉了日本人，日本人倒是赞成。“中国人，怎么也不敢用仇这个字的。善，正直，很有意思。”不用说，就算孩子没跟他们说，他们也会知道祖孙俩之间说的每个字，因为他们安插了人在偷听。偷偷监视他的日本人会趁钱先生沉思的时候，试图劝他投降，还暗示说如果他坚决不投降，钱家可能会断后。</w:t>
      </w:r>
      <w:r>
        <w:rPr>
          <w:rFonts w:hint="eastAsia" w:ascii="楷体" w:hAnsi="楷体" w:eastAsia="楷体" w:cs="楷体"/>
          <w:i w:val="0"/>
          <w:iCs w:val="0"/>
          <w:caps w:val="0"/>
          <w:color w:val="FFFFFF"/>
          <w:spacing w:val="8"/>
          <w:sz w:val="21"/>
          <w:szCs w:val="21"/>
          <w:bdr w:val="none" w:color="auto" w:sz="0" w:space="0"/>
          <w:shd w:val="clear" w:fill="FFFFFF"/>
          <w:vertAlign w:val="baseline"/>
        </w:rPr>
        <w:t>超然客公众号</w:t>
      </w:r>
    </w:p>
    <w:p w14:paraId="163EAB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老人不会为了孙子而投降，但也不会发脾气，那样会加快孙子的毁灭。八年的困难和痛苦，已经让他骨子里变得坚强起来，但不轻易显露。他爱自己的孙子，但是，如果日本人要强迫他亲手扼杀这孩子，为了保全气节，他会硬着心肠这么做的。但只要能拖延一天他就拖延一天。为此，他答应日本人一件事——他要写一篇悔过书。</w:t>
      </w:r>
    </w:p>
    <w:p w14:paraId="3BBBA1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这事若搁在从前，连“悔过”这样的字钱先生都不会同意写。他没什么过可悔。可为了孙子的安全，他没有当着他们的面把他们拿来的笔、墨、砚台掷回去。他要争取时间。他知道，如果日本人相信他们能打赢战争，他们就不会对他这么宽大。他知道，他唯一的希望就是日本很快战败，那时，他和孩子就能活着出狱。</w:t>
      </w:r>
    </w:p>
    <w:p w14:paraId="2B35CA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他每天都会在悔过书上写几行。他不喜欢这种艺术行为，但孩子的死活不是他单方面能决定的。孩子有权利活着，他并不只属于爷爷一个人，他还属于死去的父亲，属于守寨的母亲，往大了说，这孩子还属于他的国家，属于世界。</w:t>
      </w:r>
    </w:p>
    <w:p w14:paraId="44C767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就在他差不多写好悔过书时，祁家兄弟把他接出了监狱。</w:t>
      </w:r>
    </w:p>
    <w:p w14:paraId="4D433E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钱少奶奶和小顺儿站在小羊圈胡同口上，等候着她的公公和儿子。她现在的模样很难让人认出。她很瘦，但她的眼睛还是很亮，很有神，仿佛要把全部的生命凝聚在眼睛里寻找她的儿子。现在她知道儿子要回来了，她的眼睛似乎闪动着火光，全身都在颤抖。</w:t>
      </w:r>
    </w:p>
    <w:p w14:paraId="007331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金三爷不敢跟女儿站在一起。他心里有愧，怕钱先生骂他。他一个人站在街的另一边，脸上不停地流着热汗。</w:t>
      </w:r>
    </w:p>
    <w:p w14:paraId="676DEF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老三都不再步行，干脆跑起来。他必须第一个向大家宣布钱先生到了。</w:t>
      </w:r>
    </w:p>
    <w:p w14:paraId="1A9DCD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钱少奶奶哭着，一把把小善儿搂进怀里，抱得紧紧的，什么都说不出来。她顾不上跟公公和瑞宣打招呼，蹲在地上，脸紧紧地贴着儿子的脸。</w:t>
      </w:r>
    </w:p>
    <w:p w14:paraId="5F909E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“妈，妈，我有名字啦，你得记住啊，是善，我叫钱善。”</w:t>
      </w:r>
    </w:p>
    <w:p w14:paraId="1399C5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（节选自老舍《四世同堂》，有删改）</w:t>
      </w:r>
    </w:p>
    <w:p w14:paraId="3DA28F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6.下列对文本相关内容的理解，不正确的一项是(3分)</w:t>
      </w:r>
    </w:p>
    <w:p w14:paraId="0CB6D1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A.瑞全为钱诗人出狱举办欢迎会，既是对胜利的庆祝，也是对北平沉寂氛围的不满。</w:t>
      </w:r>
    </w:p>
    <w:p w14:paraId="341B27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B.金三爷虽然对瑞全的计划不乐意，但也没争论什么，表明他是一个性情随和的人。</w:t>
      </w:r>
    </w:p>
    <w:p w14:paraId="716D71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C.日本人用钱诗人的孙子威逼他，还派人监视他，这都反映了当时斗争形式的严峻。</w:t>
      </w:r>
    </w:p>
    <w:p w14:paraId="09B301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D.祖孙二人的对话，展现了孩子的天真懵懂，更增强了对日本侵华罪行的批判力度。</w:t>
      </w:r>
    </w:p>
    <w:p w14:paraId="360EDC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7.下列对文本艺术特色的分析鉴赏，不正确的一项是(3分)</w:t>
      </w:r>
    </w:p>
    <w:p w14:paraId="510199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A.本文采用插叙的手法叙述钱先生在狱中的情节，这与《祝福》讲述祥林嫂故事的手法不同。</w:t>
      </w:r>
    </w:p>
    <w:p w14:paraId="7565A0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B.作者善于运用心理描写，如瑞全心中的“不安静”，金三爷的“愧疚”，增强了作品的感染力。</w:t>
      </w:r>
    </w:p>
    <w:p w14:paraId="701697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C.故事始终通过瑞全的视角展开叙述，以他为线索，通过他表达欢迎钱先生出狱的喜悦之情。</w:t>
      </w:r>
    </w:p>
    <w:p w14:paraId="48BC21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D.结尾部分镜头切换到钱少奶奶与儿子关于名字的对话，收束于生活的细微之处，余韵悠长。</w:t>
      </w:r>
    </w:p>
    <w:p w14:paraId="4BF474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8.钱诗人为孙子取名，由“钱仇”改为“钱善”，这一变化有何意蕴?(4分)</w:t>
      </w:r>
    </w:p>
    <w:p w14:paraId="3CB30B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42F4FC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 </w:t>
      </w:r>
    </w:p>
    <w:p w14:paraId="36CA54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9.钱默吟共有两次入狱经历。第一次入狱，他受尽酷刑，出狱时表示“日本人很会打人，但是他们打破了我的身体，打断了我的骨头，可打不改我的心！”而第二次入狱，他未受刑，却选择了假意写悔过书来周旋。请结合本文，谈谈你对他两次表现的理解。(6分)</w:t>
      </w:r>
    </w:p>
    <w:p w14:paraId="245DD3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41843E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6813D9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(三)阅读Ⅲ(本题共5小题，22分)</w:t>
      </w:r>
    </w:p>
    <w:p w14:paraId="14EB4A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阅读下面的文言文，完成10~14题。</w:t>
      </w:r>
    </w:p>
    <w:p w14:paraId="5BCB0A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材料一</w:t>
      </w:r>
    </w:p>
    <w:p w14:paraId="716A7A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(淳化五年)正月癸酉，宋太宗命侍卫马步军都指挥使李继隆为河西兵马都部署，领兵进攻党项赵保吉①，以惩其侵掠沿边诸地。右正言、直昭文馆王禹偁在曹州上疏论事，言：</w:t>
      </w:r>
    </w:p>
    <w:p w14:paraId="63526D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臣淳化二年任商州团练副使之日，故团练使翟守素两曾夏州驻泊，因与臣同看报状，伏见李继迁进奉事。是时，臣离阙下才是数月，守素因问臣云：“继迁几时有银州观察使之命?”臣遂言：“</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七月间在中书当直，曾除此官，兼赐改姓名，恩渥优异</w:t>
      </w:r>
      <w:r>
        <w:rPr>
          <w:rFonts w:hint="eastAsia" w:ascii="楷体" w:hAnsi="楷体" w:eastAsia="楷体" w:cs="楷体"/>
          <w:i w:val="0"/>
          <w:iCs w:val="0"/>
          <w:caps w:val="0"/>
          <w:color w:val="000000"/>
          <w:spacing w:val="8"/>
          <w:sz w:val="21"/>
          <w:szCs w:val="21"/>
          <w:bdr w:val="none" w:color="auto" w:sz="0" w:space="0"/>
          <w:shd w:val="clear" w:fill="FFFFFF"/>
          <w:vertAlign w:val="baseline"/>
        </w:rPr>
        <w:t>。”守素言：“此贼未是由衷，必恐终怀反侧。”臣自闻此语，常贮于心，以为此贼不必劳力而诛，自可用计而取。况讨伐之义，权变为先。谚云：“重赏之下，必有勇夫。”今继迁本是匹夫，偷生假息，苦无财利，以结人心。伏望圣慈察臣愚见，明数罪恶，晓谕蕃戎及部下逼胁之徒，边上骁雄之士，多署赏赐，高与官资，信赏必行，蕃戎并力，继迁身首，不枭即擒。恐小蕃力所不加，则少以官军应接，何必苦烦睿略，多举王师！且自陕以西，岁非大稔，加以馈饷，转恐凋残。河北虽是丰登，须修边备。况此贼通连北敌朝廷具知周亚夫所谓击东南而备西北正在此时也。不可忿兹小竖，弗顾远图。</w:t>
      </w:r>
      <w:r>
        <w:rPr>
          <w:rFonts w:hint="eastAsia" w:ascii="楷体" w:hAnsi="楷体" w:eastAsia="楷体" w:cs="楷体"/>
          <w:i w:val="0"/>
          <w:iCs w:val="0"/>
          <w:caps w:val="0"/>
          <w:color w:val="FFFFFF"/>
          <w:spacing w:val="8"/>
          <w:sz w:val="21"/>
          <w:szCs w:val="21"/>
          <w:bdr w:val="none" w:color="auto" w:sz="0" w:space="0"/>
          <w:shd w:val="clear" w:fill="FFFFFF"/>
          <w:vertAlign w:val="baseline"/>
        </w:rPr>
        <w:t>超然客公众号</w:t>
      </w:r>
    </w:p>
    <w:p w14:paraId="28B863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臣本自草菜，擢居台阁，虽罹遣放，寻沐甄收。每欲酬恩，恨无死所，智小谋大，惟俟诛夷，报国捐躯，岂复顾虑！</w:t>
      </w:r>
    </w:p>
    <w:p w14:paraId="520BAD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————李焘《续资治通鉴长编》卷三五</w:t>
      </w:r>
    </w:p>
    <w:p w14:paraId="743F4C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材料二</w:t>
      </w:r>
    </w:p>
    <w:p w14:paraId="1471B6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夫文，传道而明心也。古圣人不得已而为之也……及其无位也，惧乎心之所有，不得明乎外，道之所畜，不得传乎后，于是乎有言焉；又惧乎言之易泯也，于是乎有文焉。信哉，不得已而为之也！既不得已而为之，又欲乎句之难道邪?又欲乎义之难晓邪?必不然矣。近世为古文之主者，韩吏部而已。吾观吏部之文，未始句之难道也，未始义之难晓也。</w:t>
      </w:r>
    </w:p>
    <w:p w14:paraId="0BDBD7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子雅识古道，又其文不背经旨，甚可嘉也</w:t>
      </w:r>
      <w:r>
        <w:rPr>
          <w:rFonts w:hint="eastAsia" w:ascii="楷体" w:hAnsi="楷体" w:eastAsia="楷体" w:cs="楷体"/>
          <w:i w:val="0"/>
          <w:iCs w:val="0"/>
          <w:caps w:val="0"/>
          <w:color w:val="000000"/>
          <w:spacing w:val="8"/>
          <w:sz w:val="21"/>
          <w:szCs w:val="21"/>
          <w:bdr w:val="none" w:color="auto" w:sz="0" w:space="0"/>
          <w:shd w:val="clear" w:fill="FFFFFF"/>
          <w:vertAlign w:val="baseline"/>
        </w:rPr>
        <w:t>。如能远师六经，近师吏部，使句之易道，义之易晓，又辅之以学，助之以气，吾将见子以文显于时也。</w:t>
      </w:r>
    </w:p>
    <w:p w14:paraId="0FDDA6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————王禹偁《答张扶书》，有删改</w:t>
      </w:r>
    </w:p>
    <w:p w14:paraId="41C42D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注：①赵保吉：即李继迁，本姓拓跋氏，宋太宗曾赐名赵保吉，党项族首领。</w:t>
      </w:r>
    </w:p>
    <w:p w14:paraId="41ADC6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10.材料中画波浪线的部分有三处需要断句，请用铅笔将答题卡上相应位置的答案标号涂黑。(3分)</w:t>
      </w:r>
    </w:p>
    <w:p w14:paraId="41E265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况此贼A通连B北敌C朝廷D具知周亚夫所谓击东南G而备西北正在此时也。</w:t>
      </w:r>
    </w:p>
    <w:p w14:paraId="32CBB5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11.下列对材料中加点的词语及相关内容的解说，不正确的一项是(3分)</w:t>
      </w:r>
    </w:p>
    <w:p w14:paraId="195756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A.阙，音què，京城，与《烛之武退秦师》中“若不阙秦”的“阙”读音、意义均不相同。</w:t>
      </w:r>
    </w:p>
    <w:p w14:paraId="4703BA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B.以，表目的，用来，与《六国论》中“暴霜露，斩荆棘，以有尺寸之地”的“以”用法相同。</w:t>
      </w:r>
    </w:p>
    <w:p w14:paraId="1C2891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C.之，取消句子独立性，与《兰亭集序》中“会于会稽山阴之兰亭”的“之”用法不同。</w:t>
      </w:r>
    </w:p>
    <w:p w14:paraId="0937BB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D.六经，即《师说》中的“六艺”，指的是《诗》《书》《礼》《乐》《易》《春秋》六种经书。</w:t>
      </w:r>
    </w:p>
    <w:p w14:paraId="5598B6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12.下列对材料有关内容的概述，不正确的一项是(3分)</w:t>
      </w:r>
    </w:p>
    <w:p w14:paraId="3182A0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A.虽身居低位，但王禹偁仍心系朝廷，积极献策平定李继迁之乱，体现出“报国捐躯，岂复顾虑”的忠诚。</w:t>
      </w:r>
    </w:p>
    <w:p w14:paraId="49D32B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B.王禹偁认为李继迁缺乏财力笼络人心，朝廷应列举其罪、重赏蕃部，并辅以军事支援，无需出兵征讨。</w:t>
      </w:r>
    </w:p>
    <w:p w14:paraId="133CDD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C.王禹偁在考虑军政的同时兼顾民生，结合河北等地农民的收成，提醒君主要统筹全局、注重休养生息。</w:t>
      </w:r>
    </w:p>
    <w:p w14:paraId="50687D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D.《答张扶书》中，王禹偁推崇韩愈古文，主张学习六经与韩愈文风，给予后辈真诚勉励和美好期许。</w:t>
      </w:r>
    </w:p>
    <w:p w14:paraId="681118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13.把材料中画横线的句子翻译成现代汉语。(8分)</w:t>
      </w:r>
    </w:p>
    <w:p w14:paraId="3D03EB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(1)七月间在中书当直，曾除此官，兼赐改姓名，恩渥优异。(4分)</w:t>
      </w:r>
    </w:p>
    <w:p w14:paraId="218E68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548533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(2)子雅识古道，又其文不背经旨，甚可嘉也。(4分)</w:t>
      </w:r>
    </w:p>
    <w:p w14:paraId="51EDA7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01F1F2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14.王禹偁提出文章要“传道而明心”，请结合两则材料，谈谈你对这一创作观念的理解。(5分)</w:t>
      </w:r>
    </w:p>
    <w:p w14:paraId="5872B6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3F6D8C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(四)阅读Ⅳ(本题共2小题，9分)</w:t>
      </w:r>
    </w:p>
    <w:p w14:paraId="1682CE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阅读下面这首宋诗，完成15~16题。</w:t>
      </w:r>
    </w:p>
    <w:p w14:paraId="6C9070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长洲遣兴·其一</w:t>
      </w:r>
    </w:p>
    <w:p w14:paraId="71D1EC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王禹偁</w:t>
      </w:r>
    </w:p>
    <w:p w14:paraId="7CA4F6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七十浮生已半生，徒劳何日见功名。</w:t>
      </w:r>
    </w:p>
    <w:p w14:paraId="1BCBF0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折腰米贱堪羞死，负郭田荒好力耕。</w:t>
      </w:r>
    </w:p>
    <w:p w14:paraId="6F2834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庭鹤惯侵孤坐影，邻鸡应信夜吟声。</w:t>
      </w:r>
    </w:p>
    <w:p w14:paraId="1568B1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年来更待贤良诏，咫尺松江未濯缨。</w:t>
      </w:r>
    </w:p>
    <w:p w14:paraId="71C38A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15.下列对这首诗的理解和赏析，不正确的一项是(3分)</w:t>
      </w:r>
    </w:p>
    <w:p w14:paraId="5A26B6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A.首联“何日见”的反问，藏着诗人蹉跎半生未立功名的慨叹和对前路的迷茫。</w:t>
      </w:r>
    </w:p>
    <w:p w14:paraId="0FD19C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B.诗人因俸禄微薄而羞愤难当，加之田园已经荒芜，只好回乡耕种，隐居山野。</w:t>
      </w:r>
    </w:p>
    <w:p w14:paraId="6970CD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C.颈联以极精炼的笔法，勾勒出一个与庭鹤邻鸡相伴，久坐、夜吟的孤独形象。</w:t>
      </w:r>
    </w:p>
    <w:p w14:paraId="09768A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D.“徒劳”“米贱”“田荒”等词语朴素直白，平易晓畅中寄寓深沉的人生况味。</w:t>
      </w:r>
    </w:p>
    <w:p w14:paraId="77BD6B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16.有人说这首诗表现了诗人精神困境中的矛盾与挣扎，请结合全诗加以简要评析。(6分)</w:t>
      </w:r>
    </w:p>
    <w:p w14:paraId="555FB8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145253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(五)名篇名句默写(本题共1 小题，6分)</w:t>
      </w:r>
    </w:p>
    <w:p w14:paraId="4D095E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17.补写出下列句子中的空缺部分。</w:t>
      </w:r>
    </w:p>
    <w:p w14:paraId="19D49B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(1)据张老师统计，班里超六成的学生假期善于使用AI辅助学习。对此，他用荀子《劝学》里的“</w:t>
      </w:r>
      <w:r>
        <w:rPr>
          <w:rFonts w:hint="eastAsia" w:ascii="仿宋" w:hAnsi="仿宋" w:eastAsia="仿宋" w:cs="仿宋"/>
          <w:i w:val="0"/>
          <w:iCs w:val="0"/>
          <w:caps w:val="0"/>
          <w:color w:val="000000"/>
          <w:spacing w:val="8"/>
          <w:sz w:val="21"/>
          <w:szCs w:val="21"/>
          <w:u w:val="single"/>
          <w:bdr w:val="none" w:color="auto" w:sz="0" w:space="0"/>
          <w:shd w:val="clear" w:fill="FFFFFF"/>
          <w:vertAlign w:val="baseline"/>
        </w:rPr>
        <w:t>            ，              </w:t>
      </w:r>
      <w:r>
        <w:rPr>
          <w:rFonts w:hint="eastAsia" w:ascii="仿宋" w:hAnsi="仿宋" w:eastAsia="仿宋" w:cs="仿宋"/>
          <w:i w:val="0"/>
          <w:iCs w:val="0"/>
          <w:caps w:val="0"/>
          <w:color w:val="000000"/>
          <w:spacing w:val="8"/>
          <w:sz w:val="21"/>
          <w:szCs w:val="21"/>
          <w:bdr w:val="none" w:color="auto" w:sz="0" w:space="0"/>
          <w:shd w:val="clear" w:fill="FFFFFF"/>
          <w:vertAlign w:val="baseline"/>
        </w:rPr>
        <w:t>”两句抒发感慨。</w:t>
      </w:r>
    </w:p>
    <w:p w14:paraId="1025C1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(2)当今时代发展日新月异，改革创新才是大势所趋。王安石曾经在《答司马谏议书》中批评保守派“</w:t>
      </w:r>
      <w:r>
        <w:rPr>
          <w:rFonts w:hint="eastAsia" w:ascii="仿宋" w:hAnsi="仿宋" w:eastAsia="仿宋" w:cs="仿宋"/>
          <w:i w:val="0"/>
          <w:iCs w:val="0"/>
          <w:caps w:val="0"/>
          <w:color w:val="000000"/>
          <w:spacing w:val="8"/>
          <w:sz w:val="21"/>
          <w:szCs w:val="21"/>
          <w:u w:val="single"/>
          <w:bdr w:val="none" w:color="auto" w:sz="0" w:space="0"/>
          <w:shd w:val="clear" w:fill="FFFFFF"/>
          <w:vertAlign w:val="baseline"/>
        </w:rPr>
        <w:t>             ，              </w:t>
      </w:r>
      <w:r>
        <w:rPr>
          <w:rFonts w:hint="eastAsia" w:ascii="仿宋" w:hAnsi="仿宋" w:eastAsia="仿宋" w:cs="仿宋"/>
          <w:i w:val="0"/>
          <w:iCs w:val="0"/>
          <w:caps w:val="0"/>
          <w:color w:val="000000"/>
          <w:spacing w:val="8"/>
          <w:sz w:val="21"/>
          <w:szCs w:val="21"/>
          <w:bdr w:val="none" w:color="auto" w:sz="0" w:space="0"/>
          <w:shd w:val="clear" w:fill="FFFFFF"/>
          <w:vertAlign w:val="baseline"/>
        </w:rPr>
        <w:t>”，这种因循守旧的做法也是我们要摒弃的。</w:t>
      </w:r>
      <w:r>
        <w:rPr>
          <w:rFonts w:hint="eastAsia" w:ascii="楷体" w:hAnsi="楷体" w:eastAsia="楷体" w:cs="楷体"/>
          <w:i w:val="0"/>
          <w:iCs w:val="0"/>
          <w:caps w:val="0"/>
          <w:color w:val="FFFFFF"/>
          <w:spacing w:val="8"/>
          <w:sz w:val="21"/>
          <w:szCs w:val="21"/>
          <w:bdr w:val="none" w:color="auto" w:sz="0" w:space="0"/>
          <w:shd w:val="clear" w:fill="FFFFFF"/>
          <w:vertAlign w:val="baseline"/>
        </w:rPr>
        <w:t>超然客公众号</w:t>
      </w:r>
      <w:r>
        <w:rPr>
          <w:rFonts w:hint="eastAsia" w:ascii="Microsoft YaHei UI" w:hAnsi="Microsoft YaHei UI" w:eastAsia="Microsoft YaHei UI" w:cs="Microsoft YaHei UI"/>
          <w:i w:val="0"/>
          <w:iCs w:val="0"/>
          <w:caps w:val="0"/>
          <w:spacing w:val="8"/>
          <w:sz w:val="21"/>
          <w:szCs w:val="21"/>
          <w:bdr w:val="none" w:color="auto" w:sz="0" w:space="0"/>
          <w:shd w:val="clear" w:fill="FFFFFF"/>
        </w:rPr>
        <w:drawing>
          <wp:inline distT="0" distB="0" distL="114300" distR="114300">
            <wp:extent cx="1905000" cy="24765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905000" cy="2476500"/>
                    </a:xfrm>
                    <a:prstGeom prst="rect">
                      <a:avLst/>
                    </a:prstGeom>
                    <a:noFill/>
                    <a:ln w="9525">
                      <a:noFill/>
                    </a:ln>
                  </pic:spPr>
                </pic:pic>
              </a:graphicData>
            </a:graphic>
          </wp:inline>
        </w:drawing>
      </w:r>
    </w:p>
    <w:p w14:paraId="3C334F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(3)与右图内容相契合的古诗文名句，可以是:“</w:t>
      </w:r>
      <w:r>
        <w:rPr>
          <w:rFonts w:hint="eastAsia" w:ascii="仿宋" w:hAnsi="仿宋" w:eastAsia="仿宋" w:cs="仿宋"/>
          <w:i w:val="0"/>
          <w:iCs w:val="0"/>
          <w:caps w:val="0"/>
          <w:color w:val="000000"/>
          <w:spacing w:val="8"/>
          <w:sz w:val="21"/>
          <w:szCs w:val="21"/>
          <w:u w:val="single"/>
          <w:bdr w:val="none" w:color="auto" w:sz="0" w:space="0"/>
          <w:shd w:val="clear" w:fill="FFFFFF"/>
          <w:vertAlign w:val="baseline"/>
        </w:rPr>
        <w:t>             ，             </w:t>
      </w:r>
      <w:r>
        <w:rPr>
          <w:rFonts w:hint="eastAsia" w:ascii="仿宋" w:hAnsi="仿宋" w:eastAsia="仿宋" w:cs="仿宋"/>
          <w:i w:val="0"/>
          <w:iCs w:val="0"/>
          <w:caps w:val="0"/>
          <w:color w:val="000000"/>
          <w:spacing w:val="8"/>
          <w:sz w:val="21"/>
          <w:szCs w:val="21"/>
          <w:bdr w:val="none" w:color="auto" w:sz="0" w:space="0"/>
          <w:shd w:val="clear" w:fill="FFFFFF"/>
          <w:vertAlign w:val="baseline"/>
        </w:rPr>
        <w:t>”。</w:t>
      </w:r>
    </w:p>
    <w:p w14:paraId="552ECC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rPr>
        <w:drawing>
          <wp:inline distT="0" distB="0" distL="114300" distR="114300">
            <wp:extent cx="1485900" cy="1952625"/>
            <wp:effectExtent l="0" t="0" r="0" b="952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485900" cy="1952625"/>
                    </a:xfrm>
                    <a:prstGeom prst="rect">
                      <a:avLst/>
                    </a:prstGeom>
                    <a:noFill/>
                    <a:ln w="9525">
                      <a:noFill/>
                    </a:ln>
                  </pic:spPr>
                </pic:pic>
              </a:graphicData>
            </a:graphic>
          </wp:inline>
        </w:drawing>
      </w:r>
    </w:p>
    <w:p w14:paraId="78C5B7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 </w:t>
      </w:r>
    </w:p>
    <w:p w14:paraId="147235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二、语言文字运用(本题共5 小题，18分)</w:t>
      </w:r>
    </w:p>
    <w:p w14:paraId="3A96E3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阅读下面的文字，完成18~22题。</w:t>
      </w:r>
    </w:p>
    <w:p w14:paraId="65B62A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真实是新闻的生命，也是新闻标题拟写的基本要求。无论是传统纸媒还是新媒体，标题都必须准确反映新闻的核心内容，不能误导受众。这就要求制作标题时要尽可能提炼出文章的关键信息，概括出新闻的主要内容，同时避免(      )，确保标题与正文在事实上和意旨上的一致性。</w:t>
      </w:r>
    </w:p>
    <w:p w14:paraId="02900A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融媒体时代，不同于报纸可以利用留白、字号等版面语言，网络新闻的标题字数虽然限制不多，但是大都采用一行题(即仅包含主标题)，因此要尽量采用实题直指核心，最大限度吸引受众眼球，这点尤其值得传统媒体借鉴。需要注意的是，新闻可以适当地表达态度，但这种表达有个前提条件，就是必须尊重新闻事实。例如，《北京日报》客户端稿件《外卖小哥一通电话，北京这个小区154个单元楼装上新号牌》，新闻标题简明扼要、真实准确地传达了新闻内容。</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这篇稿件推出后，成功将外卖小哥“送”上热搜</w:t>
      </w:r>
      <w:r>
        <w:rPr>
          <w:rFonts w:hint="eastAsia" w:ascii="楷体" w:hAnsi="楷体" w:eastAsia="楷体" w:cs="楷体"/>
          <w:i w:val="0"/>
          <w:iCs w:val="0"/>
          <w:caps w:val="0"/>
          <w:color w:val="000000"/>
          <w:spacing w:val="8"/>
          <w:sz w:val="21"/>
          <w:szCs w:val="21"/>
          <w:bdr w:val="none" w:color="auto" w:sz="0" w:space="0"/>
          <w:shd w:val="clear" w:fill="FFFFFF"/>
          <w:vertAlign w:val="baseline"/>
        </w:rPr>
        <w:t>，并被新华社、《人民日报》《半月谈》等近50家中央和地方媒体转载，在第34届中国新闻奖评选中荣获一等奖。第34届中国新闻奖获奖作品中类似的好标题还有“全国首个GDP 破5000亿元县级市诞生”“断航26年后，古老小清河获新生”等，这些标题有一个共同特点就是用事实说话，真实准确地传达出了文章的主要内容，能够让人“望题知义”。</w:t>
      </w:r>
    </w:p>
    <w:p w14:paraId="15A8F4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①移动互联网时代，由于一个好的标题能够在第一时间吸引受众关注，②获取高点击率，带来大流量。③但有些网络新闻为了点击率过于追求情绪化表达，④呈现故弄玄虚、歪曲事实的“标题党”问题，⑤让人读后有种上当受骗的感觉，容易产生负面效应，应当引以为戒。</w:t>
      </w:r>
      <w:r>
        <w:rPr>
          <w:rFonts w:hint="eastAsia" w:ascii="楷体" w:hAnsi="楷体" w:eastAsia="楷体" w:cs="楷体"/>
          <w:i w:val="0"/>
          <w:iCs w:val="0"/>
          <w:caps w:val="0"/>
          <w:color w:val="FFFFFF"/>
          <w:spacing w:val="8"/>
          <w:sz w:val="21"/>
          <w:szCs w:val="21"/>
          <w:bdr w:val="none" w:color="auto" w:sz="0" w:space="0"/>
          <w:shd w:val="clear" w:fill="FFFFFF"/>
          <w:vertAlign w:val="baseline"/>
        </w:rPr>
        <w:t>超然客公众号</w:t>
      </w:r>
    </w:p>
    <w:p w14:paraId="47E822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18.填入第一段括号内的词语，不恰当的一项是(3分)</w:t>
      </w:r>
    </w:p>
    <w:p w14:paraId="5B1B00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A.以偏概全B.耸人听闻  C.断章取义  D.骇人听闻</w:t>
      </w:r>
    </w:p>
    <w:p w14:paraId="48779E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19.下列加点词与文中“望题知义”的修辞手法不同的一项是(3分)</w:t>
      </w:r>
    </w:p>
    <w:p w14:paraId="5759B2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A.阿Q 十分得意的笑了。“哈哈哈”酒店里的人也九分得意的笑。</w:t>
      </w:r>
    </w:p>
    <w:p w14:paraId="261098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B.齐白石的画一气呵成，毫无修补痕迹，可谓“一笔不苟”。</w:t>
      </w:r>
    </w:p>
    <w:p w14:paraId="688FEC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C.这个新程序有很多“坑”，简直就是个“雷区”，你一定要小心。</w:t>
      </w:r>
    </w:p>
    <w:p w14:paraId="15AF8D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D.我不是什么天才，顶多算个“地才”，需要脚踏实地去努力才能成功。</w:t>
      </w:r>
    </w:p>
    <w:p w14:paraId="416FC7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20.文中划线句子中“送”是什么含义？为什么要加引号?(3分)</w:t>
      </w:r>
    </w:p>
    <w:p w14:paraId="450785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 </w:t>
      </w:r>
    </w:p>
    <w:p w14:paraId="759752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202D88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21.文中最后一段有两处表述不当，请指出其序号并做修改，使语言准确流畅，逻辑严密，不得改变原意。(4分)</w:t>
      </w:r>
    </w:p>
    <w:p w14:paraId="669047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2433F0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22.某融媒体编辑修改稿件时，将一标题“启东：走一条县域‘科产深融’新路径”修改为“科创‘奔县’，产业‘奔现’”，二者语义基本相同，但修改后的标题表达效果更好，为什么?(5分)</w:t>
      </w:r>
    </w:p>
    <w:p w14:paraId="0DDD06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0BB227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2269A7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三、写作(60分)</w:t>
      </w:r>
    </w:p>
    <w:p w14:paraId="4E4D36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23.阅读下面的材料，根据要求写作文。(60分)</w:t>
      </w:r>
    </w:p>
    <w:p w14:paraId="42922E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习近平总书记曾言，人民是历史的创造者，是决定国家前途命运的根本力量。</w:t>
      </w:r>
    </w:p>
    <w:p w14:paraId="1B87F0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阅读Ⅱ中，老舍以小羊圈胡同为舞台，用平民视角勾勒出抗日战争胜利后的众生相，这些普通人没有惊天动地的壮举，却让苦难的生活有了温暖，也有了力量。</w:t>
      </w:r>
    </w:p>
    <w:p w14:paraId="33D2CF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当下生活中，“普通人的温暖与力量”带给你怎样的思考与感受？请写一篇文章。</w:t>
      </w:r>
    </w:p>
    <w:p w14:paraId="70AA21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要求：选准角度，确定立意，明确文体，自拟标题；不要套作，不得抄袭；不得泄露个人信息；不少于800字。</w:t>
      </w:r>
    </w:p>
    <w:p w14:paraId="269350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rPr>
          <w:rFonts w:hint="eastAsia" w:ascii="Microsoft YaHei UI" w:hAnsi="Microsoft YaHei UI" w:eastAsia="Microsoft YaHei UI" w:cs="Microsoft YaHei UI"/>
          <w:i w:val="0"/>
          <w:iCs w:val="0"/>
          <w:caps w:val="0"/>
          <w:spacing w:val="8"/>
          <w:sz w:val="21"/>
          <w:szCs w:val="21"/>
        </w:rPr>
      </w:pPr>
    </w:p>
    <w:p w14:paraId="4E8183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rPr>
        <w:t> </w:t>
      </w:r>
    </w:p>
    <w:p w14:paraId="657473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vertAlign w:val="baseline"/>
        </w:rPr>
        <w:t>参考答案</w:t>
      </w:r>
    </w:p>
    <w:p w14:paraId="723092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1.D 【解析】A 项“在诞生之初就拥有相同的技术路径和应用场景”错误。B项“是因为其技术构想缺乏可行性”于文无据。C项“解决了······所有混乱”表述绝对，原文提到2013年后“一些人就不再有意识地区别使用”，但后文又出现了新的区分建议。</w:t>
      </w:r>
    </w:p>
    <w:p w14:paraId="2D3D46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 C 【解析】C 项“主要是为了体现技术先进性的差异”错误。原文明确指出，建议进行术语区分的目的是“从安全监管与伦理治理的角度出发”，“以提醒人众和监管者注意技术的不同风险等级”，核心关注点是风险与安全，而非技术先进性。</w:t>
      </w:r>
    </w:p>
    <w:p w14:paraId="39BD78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3. B 【解析】末段指出“过度泛化”是指“很多实际上与脑机接口无关的研究也被说成是脑机接口研究”。B项中“为增强健康人群记忆力而开发的药物”本不属于脑机接口范畴，却为获取关注而被宣传为脑机接口产品，是典型的“过度泛化”现象。A项是典型的脑机接口研究，C、D两项与“过度泛化”无关。</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28AD46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4.①该著作对统一概念、传播知识起到了关键作用，这个例子解释了2013年后“一些人就不再有意识地区别使用”两个术语的原因。</w:t>
      </w:r>
    </w:p>
    <w:p w14:paraId="495A4F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②以权威学者及其影响广泛的著作为例，增强了说服力。</w:t>
      </w:r>
    </w:p>
    <w:p w14:paraId="316759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(每点2分。意思对即可。)</w:t>
      </w:r>
    </w:p>
    <w:p w14:paraId="20DBE2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5.示例一：支持正方观点</w:t>
      </w:r>
    </w:p>
    <w:p w14:paraId="6B1041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①脑机接口是拓展人类能力边界的革命性技术，(或：脑机接口能拓展人类生理限制和认知边界)，已成为科技创新和产业创新深度融合的重要领域。</w:t>
      </w:r>
    </w:p>
    <w:p w14:paraId="60E325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②“大胆尝试”的内涵是坚持需求导向，帮助神经系统疾病的患者解决现实问题。</w:t>
      </w:r>
    </w:p>
    <w:p w14:paraId="455344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③技术风险可以通过规范引领与合理可靠的伦理框架来有效规避。</w:t>
      </w:r>
    </w:p>
    <w:p w14:paraId="59E5A4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(每点2分。意思对即可。仅答支持几方没有写出理由不给分。)</w:t>
      </w:r>
    </w:p>
    <w:p w14:paraId="20AC33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示例二：支持反方观点</w:t>
      </w:r>
    </w:p>
    <w:p w14:paraId="67D21A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①脑机接口概念上的混淆曾长期存在，技术本身的界定尚不清晰，技术风险大。</w:t>
      </w:r>
    </w:p>
    <w:p w14:paraId="374A0D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②脑机接口对“人”的本质构成威胁，破坏人的尊严和独立性，会使人陷入身份认知危机。</w:t>
      </w:r>
    </w:p>
    <w:p w14:paraId="39BE70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③现有的伦理与监管框架远未成熟，无法规避风险。</w:t>
      </w:r>
    </w:p>
    <w:p w14:paraId="395145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(每点 2分。意思对即可。)</w:t>
      </w:r>
    </w:p>
    <w:p w14:paraId="5FA00D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6.       B 【解析】金三爷不敢争论是因为他心中有愧，不是因为他性格随和。</w:t>
      </w:r>
    </w:p>
    <w:p w14:paraId="5741B6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7.  C 【解析】故事并非“主要通过瑞金的视角展开”。文本的叙事视角是灵活多变的个知视角。虽开篇由瑞金引出情节，但中间大量篇幅(如狱中祖孙互动、钱先生的内心挣扎、金三爷的心理活动)都跳出了瑞金的视野，深入到了其他人物的内心世界；“以他为线索”也不合理。</w:t>
      </w:r>
    </w:p>
    <w:p w14:paraId="72D4C7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8.①名字变化体现了钱诗人对孙子的期待：虽然他自己内心对口本人充满仇恨，但他希望子孙放下仇恨，走向正直与新生。</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0D80F8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②从“钱仇”到“钱善”的转变，象征战争背景下人民从苦难仇恨转向对和平、善良的渴望。</w:t>
      </w:r>
    </w:p>
    <w:p w14:paraId="5D4471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(每点2分。其他答案，言之成理，可酌情给分。)</w:t>
      </w:r>
    </w:p>
    <w:p w14:paraId="43513A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9.①第一次是正面、刚烈的直接对抗(1分)，是捍卫个人尊严与气节(1分)。</w:t>
      </w:r>
    </w:p>
    <w:p w14:paraId="09469C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②第二次转变为隐忍、富有智慧的韧性周旋(1分)，则是对家族血脉(孙子)的守护，更是对家国未来的担当(1分)。</w:t>
      </w:r>
    </w:p>
    <w:p w14:paraId="230A9D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③两次表现，一硬一软，都体现了钱默吟坚贞不屈的民族气节(1分)和顽强的抗争精神(1分)。</w:t>
      </w:r>
    </w:p>
    <w:p w14:paraId="7E17C4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(每点2分。其他答案，言之成理，可酌情给分。)</w:t>
      </w:r>
    </w:p>
    <w:p w14:paraId="7CB97E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10. CEH  【解析】“况此贼通连北敌”介绍李继迁与北方敌人勾结的情况。“况”为连词，表示递进关系，此处需与后文分开，故在C处断；“朝廷具知”的宾语应是上文李继迁的举动，不是下文周亚夫的做法，故E处需断；“周亚夫所谓击东南而备西北”是作者引用周亚夫的策略，不应中断，否则会破坏语意完整性，故H处需断；“正在此时也”是对前文的总结和强调，表示这一策略正适用于当前时机，独立成意。</w:t>
      </w:r>
    </w:p>
    <w:p w14:paraId="48AAA8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11. B  【解析】“以有尺寸之地”的“以”表示结果，相当于“从而”。</w:t>
      </w:r>
    </w:p>
    <w:p w14:paraId="2127D2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12.B【解析】B项表述不准确。材料一中王禹偁虽主张以赏赐分化李继迁势力，但原文明确提到“恐小蕃力所不加，则少以守军应接”，意为若蕃部力量不足可稍派官军接应，并非“无需出兵征讨”，且后文强调“河北虽是丰登，须修边备”“况此贼通连北敌”，可见其主张的是以策略为主、军事为辅的谨慎用兵方针，而非完全否定出兵。A、C、D三项均符合原文内容。</w:t>
      </w:r>
    </w:p>
    <w:p w14:paraId="51879E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13.(1)译文：(我)七月间在中书省值班时，朝廷曾授予他此官，并赐其史改姓名，恩宠优厚。</w:t>
      </w:r>
    </w:p>
    <w:p w14:paraId="5D5FF0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(“当值”，值班，1分；省略句式，1分；句意2分。)</w:t>
      </w:r>
    </w:p>
    <w:p w14:paraId="261D7D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(2)译文：你向来能理解古人的思想，加之你的文章不违背儒家经典的宗旨，(这是)非常值得赞许的。(“雅”，向来，一向，1分；“经旨”，儒家典籍的宗旨，1分；句意2分。)</w:t>
      </w:r>
    </w:p>
    <w:p w14:paraId="1F45AC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14.①文章要传道，即阐明符合儒家规范的思想、道理或主张。材料一作为一篇奏疏，向皇帝阐述了对付李继迁的定国安邦之策。</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177381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②文章要明心，即表明个人的情感。奏疏清晰地展现了王禹偁作为臣子的忠诚、忧患和急切之心。</w:t>
      </w:r>
    </w:p>
    <w:p w14:paraId="6734F0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③文章要传道、明心，就要追求句义通俗易懂，避免艰涩难懂。奏疏运用通俗的谚语和直白的语言，清晰明了；材料二以韩愈文章为例，阐明应“易道”“易晓”。</w:t>
      </w:r>
    </w:p>
    <w:p w14:paraId="29EF76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(答出①②各给2分，答出③给1分。)</w:t>
      </w:r>
    </w:p>
    <w:p w14:paraId="5C0C86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附文言文参考译文：</w:t>
      </w:r>
    </w:p>
    <w:p w14:paraId="0185AA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材料一</w:t>
      </w:r>
    </w:p>
    <w:p w14:paraId="03C431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(淳化五年)正月癸酉日，宋太宗任命侍卫马步军都指挥使李继隆为河西兵马都部署，率军进攻党项首领赵保吉(即李继迁)，以惩戒他侵扰抢掠边境各地的行为。右正言、直昭文馆王禹偁在曹州上疏论事，奏称：</w:t>
      </w:r>
    </w:p>
    <w:p w14:paraId="2259DF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臣在淳化二年担任商州团练副使期间，已故团练使翟守素曾两次驻守夏州，因而与臣一同阅览朝廷邸报，见到李继迁向朝廷进奉之事。当时，臣离开京城才数月，守素便问臣：“李继迁是何时受封银州观察使的?”臣答称：“七月间在中书省值班时，朝廷曾授予他此官，并赐其吏改姓名，恩宠优厚。”守素言道：“此贼绝非真心归顺，恐怕终究会怀有反复之心。”臣自听闻此言，常存于心，认为对此贼不必劳师动众征讨，自可用计谋制服。况且讨伐之道，贵在灵活变通。谚语说：“重赏之下，必有勇夫。”如今李继迁本是一介匹夫，苟且偷生暂得喘息休养，又苦于没有财物利益来笼络人心。伏望陛下明察臣之愚见，公开列举其罪行，晓谕蕃部及被其胁迫的部众，对边境骁勇之士，广设赏赐，许以高官厚禄，(朝廷)做到言出必行，使蕃部同心协力，则李继迁不是首级被悬示就是被生擒。如果担心蕃部力量不足，可稍派官军接应，何必劳烦陛下心神思虑，大规模出动朝廷军队！况且自陕以西地区并未大丰收，若再让他们运粮饷，转运会导致民生凋敝。河北虽逢丰年，还要加强边备。何况此贼与北敌(指辽国)勾结，朝廷早已知晓，正如周亚夫所言“击东南而备西北”，正应在此时。切不可因愤恨此等小贼，而忽视长远谋划。</w:t>
      </w:r>
    </w:p>
    <w:p w14:paraId="33B238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臣本出身草野，蒙陛下擢升居于朝堂，虽曾遭贬斥，不久又承恩录用。每每想要报答君恩，只恨未得效死之处，(我)智术短浅而志气宏大，只待朝廷诛平叛乱时，为报效国家捐躯殒命，哪里还有什么顾虑！</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54D426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材料二</w:t>
      </w:r>
    </w:p>
    <w:p w14:paraId="5A9DF5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文章，是用来传播道义、阐明内心思想情感的。古代的圣贤是迫不得已才从事写作的。……等到他们不再身居官位时，担心自己内心的思想见解无法昭示于外界，自己所掌握的道义精粹无法传承给后世，于是才用言语来表达；又担心言语容易湮灭，于是才用文章来记载。确实如此啊，这都是迫不得已才做的事！既然是迫不得已而为之，难道还会追求文句的晦涩表达吗？还会追求义理的艰深费解吗？必然不会这样的。近代擅长作古文的人中，(真正称得上宗师的)只有韩愈先生而已。我读韩愈的文章，(发现他)从不追求文句的晦涩表达，也从不追求义理的艰深费解。</w:t>
      </w:r>
    </w:p>
    <w:p w14:paraId="762C47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你向来能理解古人的思想，加之你的文章不违背儒家经典的宗旨，(这是)非常值得赞许的。如果你能远以六经为师，近以韩愈为师，使文句通达流畅，使义理清晰明了，再以广博的学习来充实，以充沛的气势来辅助，我必将看到你凭借文章在某个时期显扬声名。</w:t>
      </w:r>
    </w:p>
    <w:p w14:paraId="4FBC56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15. B【解析】诗人真正感到“堪羞死”的不是俸禄微薄，而是为微薄俸禄而“折腰”屈从权贵，这也是典故的含义所在。</w:t>
      </w:r>
    </w:p>
    <w:p w14:paraId="56BC7D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16.①羞于折腰却又期待诏令。诗人一面自嘲为微薄俸禄向权贵低头，羞愧到想以死明志；一面又在等待渺茫的“贤良诏”，期待被朝廷重用以实现抱负。</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5F1B95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②心向田园却又不甘退隐。诗人想到家乡的田园已经荒芜，萌生归隐之心，却又不愿去近在咫尺的松江去过真正的隐居生活。</w:t>
      </w:r>
    </w:p>
    <w:p w14:paraId="61B66F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③面对理想与现实的差距，诗人内心充满用世与归隐的矛盾，孤坐夜吟就是这种矛盾挣扎心理的外化，却也体现了古代文人“以天下为己任”的执念。</w:t>
      </w:r>
    </w:p>
    <w:p w14:paraId="0BEB05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(一点2分，只有分析没有评价最高5分。其他答案言之成理的情给分)</w:t>
      </w:r>
    </w:p>
    <w:p w14:paraId="05594B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17.(1)君子生非异也，善假于物也</w:t>
      </w:r>
    </w:p>
    <w:p w14:paraId="47BE1C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(2)(如曰今日当)一切不事物，守前所为而已</w:t>
      </w:r>
    </w:p>
    <w:p w14:paraId="70E977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(3)当窗理云鬓，对镜帖花黄；小轩窗，正梳妆；懒起画蛾眉，弄妆梳洗迟；照花前后镜，花面交相映。</w:t>
      </w:r>
    </w:p>
    <w:p w14:paraId="0EFAA0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18. D【解析】A.以偏概全：以局部来概括全体。指观察和处理问题不全而。B.耸人听闻：指故意夸大或捏造事实，使人听了感到震惊。C.所章取义：指引用他人文章或谈话，只截取其中一段的意思，而不顾全文或原意。D.骇人听闻：指使人听了非常震惊，强调事件或行为本身达到令人吃惊的程度。</w:t>
      </w:r>
    </w:p>
    <w:p w14:paraId="4E5237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19. C【解析】“望题知义”指看到标题就能知道文章内容，是仿照成语“望文生义”创造出来的，这是一种仿词(仿拟)的修辞手法。A项仿“十分”，创造出了“九分”；B项仿“一丝不苟”，创造出了“一笔不苟”；C项“坑”使用的是比喻义，指Ⅱ领域的一些漏洞或者技术难题；D项仿“天才”，创造出了“地才”。</w:t>
      </w:r>
    </w:p>
    <w:p w14:paraId="7658C3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20.第一问：“送”表示“成功助推”，强调了稿件所起到的强大的推动作用，将“外卖小哥”推向了舆论中心。(1分)</w:t>
      </w:r>
      <w:r>
        <w:rPr>
          <w:rFonts w:hint="eastAsia" w:ascii="等线" w:hAnsi="等线" w:eastAsia="等线" w:cs="等线"/>
          <w:i w:val="0"/>
          <w:iCs w:val="0"/>
          <w:caps w:val="0"/>
          <w:color w:val="FFFFFF"/>
          <w:spacing w:val="8"/>
          <w:sz w:val="21"/>
          <w:szCs w:val="21"/>
          <w:bdr w:val="none" w:color="auto" w:sz="0" w:space="0"/>
          <w:shd w:val="clear" w:fill="FFFFFF"/>
          <w:vertAlign w:val="baseline"/>
        </w:rPr>
        <w:t> 超然客公众号</w:t>
      </w:r>
    </w:p>
    <w:p w14:paraId="6728E0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第二问：加引号表示不是物理意义上的“运送”，而是在网络语境下产生了不同于字面意思的特殊含义，增强了语言的生动性。(2分)</w:t>
      </w:r>
    </w:p>
    <w:p w14:paraId="6815EC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21.①成分赘余，删掉“由于”(2分)④搭配不当，把“呈现”改为“出现”(2分)</w:t>
      </w:r>
    </w:p>
    <w:p w14:paraId="5CEA58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22.①修改后标题形式对仗，且简洁概括了“科产融合”的主题，吸引读者，更有传播力。原标题信息全面但生动性不够。(2分)②巧妙运用谐音双关，“介县”取自网络热词“介现”，精准描述科技创新资源“介赴县域”的新闻亮点，极具网感又贴切。(2分)③“弃现”保留网络原词，指科技的到来促使产业成果“变为现实”，与前文“奔县”呼应，趣味十足。(1分)</w:t>
      </w:r>
    </w:p>
    <w:p w14:paraId="42AC87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23.作文题目立意解析</w:t>
      </w:r>
    </w:p>
    <w:p w14:paraId="529C02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考生当兼顾两段文字的内涵，使之形成有机关联。第1段文字从宏观视角赞颂人民的伟大力量，第2段文字则以《四世同堂》中的小人物为例，赞颂普通个体的温暖与力量。题目中“温暖”的内涵侧重普通人之间的人性光辉、相互扶持、朴素情感带来的感动与希望等。“力量”侧重平凡个体在时代洪流中展现的生命韧性、道德选择、文化传承、家国担当等精神力量。关联两则材料，考生在肯定“普通人的温暖与力量”正面价值的同时，也当思考“普通人的力量与时代发展、国家命运的关系”“平凡与伟大的辩证统一”等。</w:t>
      </w:r>
    </w:p>
    <w:p w14:paraId="7F1BC9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参考立意角度：</w:t>
      </w:r>
    </w:p>
    <w:p w14:paraId="59C94B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1.无数普通人的选择共同构成时代的底色。</w:t>
      </w:r>
    </w:p>
    <w:p w14:paraId="35CB2D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当代启示：抗疫中的邻里互助、灾情中的民间救援、传统文化在家庭的代际传承等。</w:t>
      </w:r>
    </w:p>
    <w:p w14:paraId="4AA4D6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2.最持久的力量往往蕴藏在最普通的生活中。</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1D8463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联系现实：社区志愿者的默默付出、外卖骑手的城市穿梭、乡村教师的留守耕耘等。</w:t>
      </w:r>
    </w:p>
    <w:p w14:paraId="1B4BC7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3.温暖来自于对生活本身的热爱与坚守。</w:t>
      </w:r>
    </w:p>
    <w:p w14:paraId="669185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现实观照：城市烟火气里的温情、网络时代的善意传递、职场中的守望相助等。</w:t>
      </w:r>
    </w:p>
    <w:p w14:paraId="4A1F3058">
      <w:pPr>
        <w:keepNext w:val="0"/>
        <w:keepLines w:val="0"/>
        <w:pageBreakBefore w:val="0"/>
        <w:kinsoku/>
        <w:wordWrap/>
        <w:overflowPunct/>
        <w:topLinePunct w:val="0"/>
        <w:autoSpaceDE/>
        <w:autoSpaceDN/>
        <w:bidi w:val="0"/>
        <w:adjustRightInd w:val="0"/>
        <w:snapToGrid w:val="0"/>
        <w:spacing w:line="240" w:lineRule="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2245DE"/>
    <w:rsid w:val="66224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2025-11-21T01:24:00Z</dcterms:created>
  <dc:creator>李琴</dc:creator>
  <cp:lastModifiedBy>李琴</cp:lastModifiedBy>
  <dcterms:modified xsi:type="dcterms:W3CDTF">2025-11-21T01:32:54Z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1610467706C24D549A52ABF12AFF9BA7_11</vt:lpwstr>
  </property>
  <property fmtid="{D5CDD505-2E9C-101B-9397-08002B2CF9AE}" pid="4" name="KSOTemplateDocerSaveRecord">
    <vt:lpwstr>eyJoZGlkIjoiODM2YjM3MWQ1YmY5ZDlmYTYyYjQ1YTQzNGVlNTMyNzAiLCJ1c2VySWQiOiI0NTY5NTk1ODEifQ==</vt:lpwstr>
  </property>
</Properties>
</file>